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西站综合楼厨房设备+排烟系统招标采购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ZSGC2025CG020</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185A9BCD">
      <w:pPr>
        <w:pStyle w:val="3"/>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val="en-US"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九</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17</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西站综合楼厨房设备+排烟系统招标采购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ZSGC2025CG020</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ZSGC2025CG020</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西站综合楼厨房设备+排烟系统招标采购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836166.10</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w:t>
      </w:r>
      <w:bookmarkStart w:id="58" w:name="_GoBack"/>
      <w:bookmarkEnd w:id="58"/>
      <w:r>
        <w:rPr>
          <w:rFonts w:hint="eastAsia" w:ascii="宋体" w:hAnsi="宋体" w:eastAsia="宋体" w:cs="宋体"/>
          <w:color w:val="auto"/>
          <w:sz w:val="24"/>
          <w:szCs w:val="24"/>
          <w:highlight w:val="none"/>
          <w:lang w:eastAsia="zh-CN"/>
        </w:rPr>
        <w:t>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10"/>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江西中善工程管理有限公司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2"/>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西站综合楼厨房设备+排烟系统招标采购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ZSGC2025CG020</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捌仟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ZSGC2025CG020</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人民币伍仟壹佰贰拾贰元（¥5122元）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24678925"/>
      <w:bookmarkStart w:id="3" w:name="_Toc377982317"/>
      <w:bookmarkStart w:id="4" w:name="_Toc17175"/>
      <w:bookmarkStart w:id="5" w:name="_Toc147282124"/>
      <w:bookmarkStart w:id="6" w:name="_Toc31761"/>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江西中善工程管理有限公司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836166.10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服务</w:t>
            </w:r>
            <w:r>
              <w:rPr>
                <w:rFonts w:hint="eastAsia" w:ascii="宋体" w:hAnsi="宋体" w:eastAsia="宋体" w:cs="宋体"/>
                <w:b w:val="0"/>
                <w:bCs w:val="0"/>
                <w:color w:val="auto"/>
                <w:sz w:val="24"/>
                <w:szCs w:val="24"/>
                <w:highlight w:val="none"/>
                <w:lang w:eastAsia="zh-CN"/>
              </w:rPr>
              <w:t>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en-US" w:eastAsia="zh-CN"/>
              </w:rPr>
              <w:t>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w:t>
            </w:r>
            <w:r>
              <w:rPr>
                <w:rFonts w:hint="eastAsia" w:ascii="宋体" w:hAnsi="宋体" w:cs="宋体"/>
                <w:b/>
                <w:bCs/>
                <w:color w:val="auto"/>
                <w:sz w:val="24"/>
                <w:szCs w:val="24"/>
                <w:highlight w:val="none"/>
                <w:lang w:val="en-US" w:eastAsia="zh-CN"/>
              </w:rPr>
              <w:t>服务方案</w:t>
            </w:r>
            <w:r>
              <w:rPr>
                <w:rFonts w:hint="eastAsia" w:ascii="宋体" w:hAnsi="宋体" w:eastAsia="宋体" w:cs="宋体"/>
                <w:b/>
                <w:bCs/>
                <w:color w:val="auto"/>
                <w:sz w:val="24"/>
                <w:szCs w:val="24"/>
                <w:highlight w:val="none"/>
                <w:lang w:val="en-US" w:eastAsia="zh-CN"/>
              </w:rPr>
              <w:t>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7"/>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p w14:paraId="21ED5CD7">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详见附件1招标控制价清单。</w:t>
      </w: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p w14:paraId="47C626BD">
      <w:pPr>
        <w:pStyle w:val="10"/>
        <w:snapToGrid w:val="0"/>
        <w:spacing w:after="0" w:line="360" w:lineRule="auto"/>
        <w:rPr>
          <w:rFonts w:ascii="宋体" w:hAnsi="宋体" w:cs="宋体"/>
          <w:sz w:val="28"/>
          <w:szCs w:val="28"/>
          <w:lang w:val="en-US" w:eastAsia="zh-CN"/>
        </w:rPr>
      </w:pPr>
      <w:r>
        <w:rPr>
          <w:rFonts w:hint="eastAsia" w:ascii="宋体" w:hAnsi="宋体" w:cs="宋体"/>
          <w:sz w:val="28"/>
          <w:szCs w:val="28"/>
          <w:lang w:val="en-US" w:eastAsia="zh-CN"/>
        </w:rPr>
        <w:t>1、尺寸和技术参数：详见《招标控制价</w:t>
      </w:r>
      <w:r>
        <w:rPr>
          <w:rFonts w:hint="eastAsia" w:ascii="宋体" w:hAnsi="宋体" w:eastAsia="宋体" w:cs="宋体"/>
          <w:color w:val="auto"/>
          <w:kern w:val="0"/>
          <w:sz w:val="28"/>
          <w:szCs w:val="28"/>
          <w:highlight w:val="none"/>
          <w:lang w:val="en-US" w:eastAsia="zh-CN"/>
        </w:rPr>
        <w:t>清单</w:t>
      </w:r>
      <w:r>
        <w:rPr>
          <w:rFonts w:hint="eastAsia" w:ascii="宋体" w:hAnsi="宋体" w:cs="宋体"/>
          <w:sz w:val="28"/>
          <w:szCs w:val="28"/>
          <w:lang w:val="en-US" w:eastAsia="zh-CN"/>
        </w:rPr>
        <w:t>》中的尺寸、技术参数，需完全响应，否则视为无效投标。</w:t>
      </w:r>
    </w:p>
    <w:p w14:paraId="55AFBAB8">
      <w:pPr>
        <w:pStyle w:val="10"/>
        <w:snapToGrid w:val="0"/>
        <w:spacing w:after="0" w:line="360" w:lineRule="auto"/>
        <w:jc w:val="left"/>
        <w:rPr>
          <w:rFonts w:hint="eastAsia" w:ascii="宋体" w:hAnsi="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lang w:eastAsia="zh-CN"/>
        </w:rPr>
        <w:t>招标人</w:t>
      </w:r>
      <w:r>
        <w:rPr>
          <w:rFonts w:hint="eastAsia" w:ascii="宋体" w:hAnsi="宋体" w:cs="宋体"/>
          <w:sz w:val="28"/>
          <w:szCs w:val="28"/>
        </w:rPr>
        <w:t>如有需要的，有权要求</w:t>
      </w:r>
      <w:r>
        <w:rPr>
          <w:rFonts w:hint="eastAsia" w:ascii="宋体" w:hAnsi="宋体" w:cs="宋体"/>
          <w:sz w:val="28"/>
          <w:szCs w:val="28"/>
          <w:lang w:val="en-US" w:eastAsia="zh-CN"/>
        </w:rPr>
        <w:t>供应商</w:t>
      </w:r>
      <w:r>
        <w:rPr>
          <w:rFonts w:hint="eastAsia" w:ascii="宋体" w:hAnsi="宋体" w:cs="宋体"/>
          <w:sz w:val="28"/>
          <w:szCs w:val="28"/>
        </w:rPr>
        <w:t>进行深化设计，</w:t>
      </w:r>
      <w:r>
        <w:rPr>
          <w:rFonts w:hint="eastAsia" w:ascii="宋体" w:hAnsi="宋体" w:cs="宋体"/>
          <w:sz w:val="28"/>
          <w:szCs w:val="28"/>
          <w:lang w:val="en-US" w:eastAsia="zh-CN"/>
        </w:rPr>
        <w:t>供应商应在图纸、文件中注明物料的种类、型号、材质、颜色等指标</w:t>
      </w:r>
      <w:r>
        <w:rPr>
          <w:rFonts w:hint="eastAsia" w:ascii="宋体" w:hAnsi="宋体" w:cs="宋体"/>
          <w:sz w:val="28"/>
          <w:szCs w:val="28"/>
        </w:rPr>
        <w:t>。</w:t>
      </w:r>
      <w:r>
        <w:rPr>
          <w:rFonts w:hint="eastAsia" w:ascii="宋体" w:hAnsi="宋体" w:cs="宋体"/>
          <w:sz w:val="28"/>
          <w:szCs w:val="28"/>
          <w:lang w:val="en-US" w:eastAsia="zh-CN"/>
        </w:rPr>
        <w:t>深化图纸</w:t>
      </w:r>
      <w:r>
        <w:rPr>
          <w:rFonts w:hint="eastAsia" w:ascii="宋体" w:hAnsi="宋体" w:cs="宋体"/>
          <w:sz w:val="28"/>
          <w:szCs w:val="28"/>
        </w:rPr>
        <w:t>待</w:t>
      </w:r>
      <w:r>
        <w:rPr>
          <w:rFonts w:hint="eastAsia" w:ascii="宋体" w:hAnsi="宋体" w:cs="宋体"/>
          <w:sz w:val="28"/>
          <w:szCs w:val="28"/>
          <w:lang w:eastAsia="zh-CN"/>
        </w:rPr>
        <w:t>招标人</w:t>
      </w:r>
      <w:r>
        <w:rPr>
          <w:rFonts w:hint="eastAsia" w:ascii="宋体" w:hAnsi="宋体" w:cs="宋体"/>
          <w:sz w:val="28"/>
          <w:szCs w:val="28"/>
          <w:lang w:val="en-US" w:eastAsia="zh-CN"/>
        </w:rPr>
        <w:t>确定后实施，深化设计时间含在供货期内。</w:t>
      </w:r>
    </w:p>
    <w:p w14:paraId="2F00E245">
      <w:pPr>
        <w:pStyle w:val="10"/>
        <w:snapToGrid w:val="0"/>
        <w:spacing w:after="0" w:line="360" w:lineRule="auto"/>
        <w:jc w:val="left"/>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lang w:eastAsia="zh-CN"/>
        </w:rPr>
        <w:t>招标人</w:t>
      </w:r>
      <w:r>
        <w:rPr>
          <w:rFonts w:hint="eastAsia" w:ascii="宋体" w:hAnsi="宋体" w:cs="宋体"/>
          <w:sz w:val="28"/>
          <w:szCs w:val="28"/>
        </w:rPr>
        <w:t>有权要求</w:t>
      </w:r>
      <w:r>
        <w:rPr>
          <w:rFonts w:hint="eastAsia" w:ascii="宋体" w:hAnsi="宋体" w:cs="宋体"/>
          <w:sz w:val="28"/>
          <w:szCs w:val="28"/>
          <w:lang w:eastAsia="zh-CN"/>
        </w:rPr>
        <w:t>供应商</w:t>
      </w:r>
      <w:r>
        <w:rPr>
          <w:rFonts w:hint="eastAsia" w:ascii="宋体" w:hAnsi="宋体" w:cs="宋体"/>
          <w:sz w:val="28"/>
          <w:szCs w:val="28"/>
          <w:lang w:val="en-US" w:eastAsia="zh-CN"/>
        </w:rPr>
        <w:t xml:space="preserve">提供厨房设备及用具平面布置图。 </w:t>
      </w:r>
    </w:p>
    <w:p w14:paraId="232D7EC1">
      <w:pPr>
        <w:pStyle w:val="10"/>
        <w:snapToGrid w:val="0"/>
        <w:spacing w:after="0" w:line="360" w:lineRule="auto"/>
        <w:jc w:val="left"/>
        <w:rPr>
          <w:rFonts w:hint="eastAsia" w:ascii="宋体" w:hAnsi="宋体" w:cs="宋体"/>
          <w:sz w:val="28"/>
          <w:szCs w:val="28"/>
          <w:lang w:val="en-US" w:eastAsia="zh-CN"/>
        </w:rPr>
      </w:pPr>
      <w:r>
        <w:rPr>
          <w:rFonts w:hint="eastAsia" w:ascii="宋体" w:hAnsi="宋体" w:cs="宋体"/>
          <w:sz w:val="28"/>
          <w:szCs w:val="28"/>
          <w:lang w:val="en-US" w:eastAsia="zh-CN"/>
        </w:rPr>
        <w:t>4、</w:t>
      </w:r>
      <w:r>
        <w:rPr>
          <w:rFonts w:hint="eastAsia" w:ascii="宋体" w:hAnsi="宋体" w:cs="宋体"/>
          <w:sz w:val="28"/>
          <w:szCs w:val="28"/>
          <w:lang w:eastAsia="zh-CN"/>
        </w:rPr>
        <w:t>招标人</w:t>
      </w:r>
      <w:r>
        <w:rPr>
          <w:rFonts w:hint="eastAsia" w:ascii="宋体" w:hAnsi="宋体" w:cs="宋体"/>
          <w:sz w:val="28"/>
          <w:szCs w:val="28"/>
        </w:rPr>
        <w:t>有权要求</w:t>
      </w:r>
      <w:r>
        <w:rPr>
          <w:rFonts w:hint="eastAsia" w:ascii="宋体" w:hAnsi="宋体" w:cs="宋体"/>
          <w:sz w:val="28"/>
          <w:szCs w:val="28"/>
          <w:lang w:eastAsia="zh-CN"/>
        </w:rPr>
        <w:t>供应商</w:t>
      </w:r>
      <w:r>
        <w:rPr>
          <w:rFonts w:hint="eastAsia" w:ascii="宋体" w:hAnsi="宋体" w:cs="宋体"/>
          <w:sz w:val="28"/>
          <w:szCs w:val="28"/>
        </w:rPr>
        <w:t>人员前往项目所在地或</w:t>
      </w:r>
      <w:r>
        <w:rPr>
          <w:rFonts w:hint="eastAsia" w:ascii="宋体" w:hAnsi="宋体" w:cs="宋体"/>
          <w:sz w:val="28"/>
          <w:szCs w:val="28"/>
          <w:lang w:eastAsia="zh-CN"/>
        </w:rPr>
        <w:t>招标人</w:t>
      </w:r>
      <w:r>
        <w:rPr>
          <w:rFonts w:hint="eastAsia" w:ascii="宋体" w:hAnsi="宋体" w:cs="宋体"/>
          <w:sz w:val="28"/>
          <w:szCs w:val="28"/>
        </w:rPr>
        <w:t>所在地向</w:t>
      </w:r>
      <w:r>
        <w:rPr>
          <w:rFonts w:hint="eastAsia" w:ascii="宋体" w:hAnsi="宋体" w:cs="宋体"/>
          <w:sz w:val="28"/>
          <w:szCs w:val="28"/>
          <w:lang w:eastAsia="zh-CN"/>
        </w:rPr>
        <w:t>招标人</w:t>
      </w:r>
      <w:r>
        <w:rPr>
          <w:rFonts w:hint="eastAsia" w:ascii="宋体" w:hAnsi="宋体" w:cs="宋体"/>
          <w:sz w:val="28"/>
          <w:szCs w:val="28"/>
        </w:rPr>
        <w:t>进行汇报，并根据</w:t>
      </w:r>
      <w:r>
        <w:rPr>
          <w:rFonts w:hint="eastAsia" w:ascii="宋体" w:hAnsi="宋体" w:cs="宋体"/>
          <w:sz w:val="28"/>
          <w:szCs w:val="28"/>
          <w:lang w:eastAsia="zh-CN"/>
        </w:rPr>
        <w:t>招标人</w:t>
      </w:r>
      <w:r>
        <w:rPr>
          <w:rFonts w:hint="eastAsia" w:ascii="宋体" w:hAnsi="宋体" w:cs="宋体"/>
          <w:sz w:val="28"/>
          <w:szCs w:val="28"/>
        </w:rPr>
        <w:t>的要求对深化图纸进行修改。</w:t>
      </w:r>
    </w:p>
    <w:p w14:paraId="6DFE8048">
      <w:pPr>
        <w:pStyle w:val="10"/>
        <w:snapToGrid w:val="0"/>
        <w:spacing w:after="0" w:line="360" w:lineRule="auto"/>
        <w:jc w:val="left"/>
        <w:rPr>
          <w:rFonts w:hint="eastAsia" w:ascii="宋体" w:hAnsi="宋体" w:cs="宋体"/>
          <w:sz w:val="28"/>
          <w:szCs w:val="28"/>
          <w:lang w:val="en-US" w:eastAsia="zh-CN"/>
        </w:rPr>
      </w:pPr>
      <w:r>
        <w:rPr>
          <w:rFonts w:hint="eastAsia" w:ascii="宋体" w:hAnsi="宋体" w:cs="宋体"/>
          <w:sz w:val="28"/>
          <w:szCs w:val="28"/>
        </w:rPr>
        <w:t>5、</w:t>
      </w:r>
      <w:r>
        <w:rPr>
          <w:rFonts w:hint="eastAsia" w:ascii="宋体" w:hAnsi="宋体" w:cs="宋体"/>
          <w:sz w:val="28"/>
          <w:szCs w:val="28"/>
          <w:lang w:val="en-US" w:eastAsia="zh-CN"/>
        </w:rPr>
        <w:t>供应商中标清单内的货物应为招标人提供不少于3个款式进行选样，并向招标人提供《采购清单》，列明产品名称、规格、材质、颜色、数量，最终以招标人确定的款式供货。</w:t>
      </w:r>
    </w:p>
    <w:p w14:paraId="3DDDB250">
      <w:pPr>
        <w:pStyle w:val="10"/>
        <w:snapToGrid w:val="0"/>
        <w:spacing w:after="0" w:line="360" w:lineRule="auto"/>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6、《采购清单》被招标人否决的，供应商应重新选样并提供《采购清单》，直到完全达到招标人要求。供应商未经招标人认可进行制作、采购的，招标人有权拒绝支付相应的价款。 </w:t>
      </w:r>
    </w:p>
    <w:p w14:paraId="58A9F0B2">
      <w:pPr>
        <w:pStyle w:val="10"/>
        <w:snapToGrid w:val="0"/>
        <w:spacing w:after="0" w:line="360" w:lineRule="auto"/>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7、招标人可以要求检验半成品，供应商应按照招标人提出的意见调整、修改。 </w:t>
      </w:r>
    </w:p>
    <w:p w14:paraId="35D4B81E">
      <w:pPr>
        <w:pStyle w:val="10"/>
        <w:snapToGrid w:val="0"/>
        <w:spacing w:after="0" w:line="360" w:lineRule="auto"/>
        <w:jc w:val="left"/>
        <w:rPr>
          <w:rFonts w:hint="eastAsia" w:ascii="宋体" w:hAnsi="宋体" w:cs="宋体"/>
          <w:sz w:val="28"/>
          <w:szCs w:val="28"/>
          <w:lang w:val="en-US" w:eastAsia="zh-CN"/>
        </w:rPr>
      </w:pPr>
      <w:r>
        <w:rPr>
          <w:rFonts w:hint="eastAsia" w:ascii="宋体" w:hAnsi="宋体" w:cs="宋体"/>
          <w:sz w:val="28"/>
          <w:szCs w:val="28"/>
          <w:lang w:val="en-US" w:eastAsia="zh-CN"/>
        </w:rPr>
        <w:t>8、物料要求结构稳定，内部结构结实耐用。</w:t>
      </w:r>
    </w:p>
    <w:p w14:paraId="2D769BC7">
      <w:pPr>
        <w:pStyle w:val="10"/>
        <w:snapToGrid w:val="0"/>
        <w:spacing w:after="0" w:line="360" w:lineRule="auto"/>
        <w:jc w:val="left"/>
        <w:rPr>
          <w:rFonts w:hint="eastAsia" w:ascii="宋体" w:hAnsi="宋体" w:cs="宋体"/>
          <w:sz w:val="28"/>
          <w:szCs w:val="28"/>
          <w:lang w:val="en-US" w:eastAsia="zh-CN"/>
        </w:rPr>
      </w:pPr>
      <w:r>
        <w:rPr>
          <w:rFonts w:hint="eastAsia" w:ascii="宋体" w:hAnsi="宋体" w:cs="宋体"/>
          <w:sz w:val="28"/>
          <w:szCs w:val="28"/>
          <w:lang w:val="en-US" w:eastAsia="zh-CN"/>
        </w:rPr>
        <w:t>9、物料金属部件要求运输过程中不得出现明显挂碰划伤，金属连接部位焊点处理平整光滑且无爆漆情况。</w:t>
      </w:r>
    </w:p>
    <w:p w14:paraId="3C9B21C5">
      <w:pPr>
        <w:snapToGrid w:val="0"/>
        <w:spacing w:line="360" w:lineRule="auto"/>
        <w:rPr>
          <w:rFonts w:hint="eastAsia" w:ascii="宋体" w:hAnsi="宋体" w:eastAsia="宋体" w:cs="宋体"/>
          <w:b/>
          <w:sz w:val="36"/>
          <w:szCs w:val="36"/>
          <w:highlight w:val="none"/>
          <w:lang w:eastAsia="zh-CN"/>
        </w:rPr>
      </w:pPr>
      <w:r>
        <w:rPr>
          <w:rFonts w:hint="eastAsia" w:ascii="宋体" w:hAnsi="宋体" w:cs="宋体"/>
          <w:kern w:val="0"/>
          <w:sz w:val="28"/>
          <w:szCs w:val="28"/>
          <w:lang w:val="en-US" w:eastAsia="zh-CN"/>
        </w:rPr>
        <w:t>10</w:t>
      </w:r>
      <w:r>
        <w:rPr>
          <w:rFonts w:hint="eastAsia" w:ascii="宋体" w:hAnsi="宋体" w:cs="宋体"/>
          <w:kern w:val="0"/>
          <w:sz w:val="28"/>
          <w:szCs w:val="28"/>
        </w:rPr>
        <w:t>、其他相关技术要求需无条件满足招标人要求。</w:t>
      </w: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w:t>
      </w:r>
      <w:r>
        <w:rPr>
          <w:rFonts w:hint="eastAsia" w:ascii="宋体" w:hAnsi="宋体" w:cs="宋体"/>
          <w:color w:val="auto"/>
          <w:kern w:val="0"/>
          <w:sz w:val="28"/>
          <w:szCs w:val="28"/>
          <w:highlight w:val="none"/>
          <w:lang w:val="en-US" w:eastAsia="zh-CN"/>
        </w:rPr>
        <w:t>招标人</w:t>
      </w:r>
      <w:r>
        <w:rPr>
          <w:rFonts w:hint="eastAsia" w:ascii="宋体" w:hAnsi="宋体" w:eastAsia="宋体" w:cs="宋体"/>
          <w:color w:val="auto"/>
          <w:kern w:val="0"/>
          <w:sz w:val="28"/>
          <w:szCs w:val="28"/>
          <w:highlight w:val="none"/>
          <w:lang w:val="en-US" w:eastAsia="zh-CN"/>
        </w:rPr>
        <w:t>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1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10"/>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w:t>
      </w:r>
      <w:r>
        <w:rPr>
          <w:rFonts w:hint="eastAsia" w:ascii="宋体" w:hAnsi="宋体" w:cs="宋体"/>
          <w:color w:val="auto"/>
          <w:kern w:val="0"/>
          <w:sz w:val="28"/>
          <w:szCs w:val="28"/>
          <w:highlight w:val="none"/>
          <w:lang w:val="en-US" w:eastAsia="zh-CN" w:bidi="ar-SA"/>
        </w:rPr>
        <w:t>供应商</w:t>
      </w:r>
      <w:r>
        <w:rPr>
          <w:rFonts w:hint="eastAsia" w:ascii="宋体" w:hAnsi="宋体" w:eastAsia="宋体" w:cs="宋体"/>
          <w:color w:val="auto"/>
          <w:kern w:val="0"/>
          <w:sz w:val="28"/>
          <w:szCs w:val="28"/>
          <w:highlight w:val="none"/>
          <w:lang w:val="en-US" w:eastAsia="zh-CN" w:bidi="ar-SA"/>
        </w:rPr>
        <w:t>双方确认的验收单为依据，单价按双方签订合同约定的价格结算，施工期间材料信息价涨跌幅超出±5%时，由甲乙双方分摊。</w:t>
      </w:r>
    </w:p>
    <w:p w14:paraId="6917637C">
      <w:pPr>
        <w:pStyle w:val="1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7DC31484">
      <w:pPr>
        <w:pStyle w:val="1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w:t>
      </w:r>
      <w:r>
        <w:rPr>
          <w:rFonts w:hint="eastAsia" w:ascii="宋体" w:hAnsi="宋体" w:cs="宋体"/>
          <w:color w:val="auto"/>
          <w:kern w:val="0"/>
          <w:sz w:val="28"/>
          <w:szCs w:val="28"/>
          <w:highlight w:val="none"/>
          <w:lang w:val="en-US" w:eastAsia="zh-CN" w:bidi="ar-SA"/>
        </w:rPr>
        <w:t>供应商</w:t>
      </w:r>
      <w:r>
        <w:rPr>
          <w:rFonts w:hint="eastAsia" w:ascii="宋体" w:hAnsi="宋体" w:eastAsia="宋体" w:cs="宋体"/>
          <w:color w:val="auto"/>
          <w:kern w:val="0"/>
          <w:sz w:val="28"/>
          <w:szCs w:val="28"/>
          <w:highlight w:val="none"/>
          <w:lang w:val="en-US" w:eastAsia="zh-CN" w:bidi="ar-SA"/>
        </w:rPr>
        <w:t>开具增值税专用发票，</w:t>
      </w:r>
      <w:r>
        <w:rPr>
          <w:rFonts w:hint="eastAsia" w:ascii="宋体" w:hAnsi="宋体" w:cs="宋体"/>
          <w:color w:val="auto"/>
          <w:kern w:val="0"/>
          <w:sz w:val="28"/>
          <w:szCs w:val="28"/>
          <w:highlight w:val="none"/>
          <w:lang w:val="en-US" w:eastAsia="zh-CN" w:bidi="ar-SA"/>
        </w:rPr>
        <w:t>招标人</w:t>
      </w:r>
      <w:r>
        <w:rPr>
          <w:rFonts w:hint="eastAsia" w:ascii="宋体" w:hAnsi="宋体" w:eastAsia="宋体" w:cs="宋体"/>
          <w:color w:val="auto"/>
          <w:kern w:val="0"/>
          <w:sz w:val="28"/>
          <w:szCs w:val="28"/>
          <w:highlight w:val="none"/>
          <w:lang w:val="en-US" w:eastAsia="zh-CN" w:bidi="ar-SA"/>
        </w:rPr>
        <w:t>收到发票后于7个工作日内支付每季度验收货款的70%。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4.2.2工程竣工双方验收合格，并办理结算后，</w:t>
      </w:r>
      <w:r>
        <w:rPr>
          <w:rFonts w:hint="eastAsia" w:ascii="宋体" w:hAnsi="宋体" w:cs="宋体"/>
          <w:color w:val="auto"/>
          <w:kern w:val="0"/>
          <w:sz w:val="28"/>
          <w:szCs w:val="28"/>
          <w:highlight w:val="none"/>
          <w:lang w:val="en-US" w:eastAsia="zh-CN" w:bidi="ar-SA"/>
        </w:rPr>
        <w:t>供应商</w:t>
      </w:r>
      <w:r>
        <w:rPr>
          <w:rFonts w:hint="eastAsia" w:ascii="宋体" w:hAnsi="宋体" w:eastAsia="宋体" w:cs="宋体"/>
          <w:color w:val="auto"/>
          <w:kern w:val="0"/>
          <w:sz w:val="28"/>
          <w:szCs w:val="28"/>
          <w:highlight w:val="none"/>
          <w:lang w:val="en-US" w:eastAsia="zh-CN" w:bidi="ar-SA"/>
        </w:rPr>
        <w:t>开具增值税专用发票后15个工作日内，</w:t>
      </w:r>
      <w:r>
        <w:rPr>
          <w:rFonts w:hint="eastAsia" w:ascii="宋体" w:hAnsi="宋体" w:cs="宋体"/>
          <w:color w:val="auto"/>
          <w:kern w:val="0"/>
          <w:sz w:val="28"/>
          <w:szCs w:val="28"/>
          <w:highlight w:val="none"/>
          <w:lang w:val="en-US" w:eastAsia="zh-CN" w:bidi="ar-SA"/>
        </w:rPr>
        <w:t>招标人</w:t>
      </w:r>
      <w:r>
        <w:rPr>
          <w:rFonts w:hint="eastAsia" w:ascii="宋体" w:hAnsi="宋体" w:eastAsia="宋体" w:cs="宋体"/>
          <w:color w:val="auto"/>
          <w:kern w:val="0"/>
          <w:sz w:val="28"/>
          <w:szCs w:val="28"/>
          <w:highlight w:val="none"/>
          <w:lang w:val="en-US" w:eastAsia="zh-CN" w:bidi="ar-SA"/>
        </w:rPr>
        <w:t>向</w:t>
      </w:r>
      <w:r>
        <w:rPr>
          <w:rFonts w:hint="eastAsia" w:ascii="宋体" w:hAnsi="宋体" w:cs="宋体"/>
          <w:color w:val="auto"/>
          <w:kern w:val="0"/>
          <w:sz w:val="28"/>
          <w:szCs w:val="28"/>
          <w:highlight w:val="none"/>
          <w:lang w:val="en-US" w:eastAsia="zh-CN" w:bidi="ar-SA"/>
        </w:rPr>
        <w:t>供应商</w:t>
      </w:r>
      <w:r>
        <w:rPr>
          <w:rFonts w:hint="eastAsia" w:ascii="宋体" w:hAnsi="宋体" w:eastAsia="宋体" w:cs="宋体"/>
          <w:color w:val="auto"/>
          <w:kern w:val="0"/>
          <w:sz w:val="28"/>
          <w:szCs w:val="28"/>
          <w:highlight w:val="none"/>
          <w:lang w:val="en-US" w:eastAsia="zh-CN" w:bidi="ar-SA"/>
        </w:rPr>
        <w:t>支付至验收材料款的97%，剩余3%作为质量保证金。待缺陷责任期12个月满后且无扣除情形的，一次性无息付清</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279"/>
      <w:bookmarkStart w:id="46" w:name="_Toc346096038"/>
      <w:bookmarkStart w:id="47" w:name="_Toc323199452"/>
      <w:bookmarkStart w:id="48" w:name="_Toc344409075"/>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10"/>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3"/>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10"/>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10"/>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10"/>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3"/>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3"/>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3"/>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3"/>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7"/>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17CC7"/>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5D169E"/>
    <w:rsid w:val="09F91840"/>
    <w:rsid w:val="09FF67ED"/>
    <w:rsid w:val="0A5D1DCF"/>
    <w:rsid w:val="0A685934"/>
    <w:rsid w:val="0AA75373"/>
    <w:rsid w:val="0AF73FD4"/>
    <w:rsid w:val="0B05031C"/>
    <w:rsid w:val="0B424B21"/>
    <w:rsid w:val="0B560A80"/>
    <w:rsid w:val="0BDE4F88"/>
    <w:rsid w:val="0BF2247E"/>
    <w:rsid w:val="0C3D67FB"/>
    <w:rsid w:val="0C762CD4"/>
    <w:rsid w:val="0C86753C"/>
    <w:rsid w:val="0C8E2713"/>
    <w:rsid w:val="0CB96085"/>
    <w:rsid w:val="0CCC0884"/>
    <w:rsid w:val="0CFA7D02"/>
    <w:rsid w:val="0D073DD1"/>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5E74C42"/>
    <w:rsid w:val="162E6590"/>
    <w:rsid w:val="16605DED"/>
    <w:rsid w:val="16610152"/>
    <w:rsid w:val="16B66298"/>
    <w:rsid w:val="16D21D27"/>
    <w:rsid w:val="170114E8"/>
    <w:rsid w:val="170535D2"/>
    <w:rsid w:val="17167C82"/>
    <w:rsid w:val="172A4ACD"/>
    <w:rsid w:val="17326391"/>
    <w:rsid w:val="177A21B0"/>
    <w:rsid w:val="17D14880"/>
    <w:rsid w:val="17D46344"/>
    <w:rsid w:val="17E01949"/>
    <w:rsid w:val="17ED150C"/>
    <w:rsid w:val="17F7713F"/>
    <w:rsid w:val="183F657B"/>
    <w:rsid w:val="185719DE"/>
    <w:rsid w:val="188B2F75"/>
    <w:rsid w:val="188B3FAB"/>
    <w:rsid w:val="18AE05BD"/>
    <w:rsid w:val="18E90CD1"/>
    <w:rsid w:val="18ED00D4"/>
    <w:rsid w:val="191948E9"/>
    <w:rsid w:val="191E4212"/>
    <w:rsid w:val="192835A8"/>
    <w:rsid w:val="19670574"/>
    <w:rsid w:val="19830BC5"/>
    <w:rsid w:val="199D7F4F"/>
    <w:rsid w:val="1A705206"/>
    <w:rsid w:val="1A8A6543"/>
    <w:rsid w:val="1A9759C4"/>
    <w:rsid w:val="1A9A2283"/>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913C1F"/>
    <w:rsid w:val="23A176D2"/>
    <w:rsid w:val="23A2454D"/>
    <w:rsid w:val="24482643"/>
    <w:rsid w:val="246400D7"/>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3C10D1"/>
    <w:rsid w:val="354E1F39"/>
    <w:rsid w:val="35505208"/>
    <w:rsid w:val="35516255"/>
    <w:rsid w:val="3555351F"/>
    <w:rsid w:val="35BF4E3C"/>
    <w:rsid w:val="35F26FC0"/>
    <w:rsid w:val="35F40F8A"/>
    <w:rsid w:val="35FE75F8"/>
    <w:rsid w:val="366B643D"/>
    <w:rsid w:val="3684230E"/>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BED2703"/>
    <w:rsid w:val="3C035857"/>
    <w:rsid w:val="3C221C81"/>
    <w:rsid w:val="3CA01523"/>
    <w:rsid w:val="3CAB0364"/>
    <w:rsid w:val="3DB15F42"/>
    <w:rsid w:val="3DDA4089"/>
    <w:rsid w:val="3DEF3B39"/>
    <w:rsid w:val="3E151B31"/>
    <w:rsid w:val="3E2F57D6"/>
    <w:rsid w:val="3E8E2733"/>
    <w:rsid w:val="3EA92FC7"/>
    <w:rsid w:val="3EBA2645"/>
    <w:rsid w:val="3ECC05DE"/>
    <w:rsid w:val="3F024E9A"/>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4D4056"/>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736055"/>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3411A"/>
    <w:rsid w:val="4FCC5976"/>
    <w:rsid w:val="4FD104D5"/>
    <w:rsid w:val="4FE92D8A"/>
    <w:rsid w:val="50234EE5"/>
    <w:rsid w:val="503D1867"/>
    <w:rsid w:val="50E0518E"/>
    <w:rsid w:val="51120CF7"/>
    <w:rsid w:val="519C6593"/>
    <w:rsid w:val="51AD1A71"/>
    <w:rsid w:val="51C92E73"/>
    <w:rsid w:val="51C94C21"/>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20100C"/>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C103A5"/>
    <w:rsid w:val="59FF6B39"/>
    <w:rsid w:val="5A660D4E"/>
    <w:rsid w:val="5A817B0D"/>
    <w:rsid w:val="5A8262B5"/>
    <w:rsid w:val="5A9263BA"/>
    <w:rsid w:val="5AA24261"/>
    <w:rsid w:val="5AAB323C"/>
    <w:rsid w:val="5AE44879"/>
    <w:rsid w:val="5AE623A0"/>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12D39"/>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BE01B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377989"/>
    <w:rsid w:val="69407A67"/>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20"/>
      <w:szCs w:val="2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w:basedOn w:val="1"/>
    <w:qFormat/>
    <w:uiPriority w:val="99"/>
    <w:pPr>
      <w:spacing w:after="120"/>
    </w:pPr>
    <w:rPr>
      <w:kern w:val="0"/>
    </w:rPr>
  </w:style>
  <w:style w:type="paragraph" w:styleId="11">
    <w:name w:val="Body Text Indent"/>
    <w:basedOn w:val="1"/>
    <w:next w:val="12"/>
    <w:qFormat/>
    <w:uiPriority w:val="0"/>
    <w:rPr>
      <w:kern w:val="0"/>
      <w:sz w:val="24"/>
    </w:rPr>
  </w:style>
  <w:style w:type="paragraph" w:styleId="12">
    <w:name w:val="envelope return"/>
    <w:basedOn w:val="1"/>
    <w:next w:val="6"/>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3"/>
    <w:next w:val="1"/>
    <w:qFormat/>
    <w:uiPriority w:val="0"/>
    <w:rPr>
      <w:rFonts w:ascii="宋体"/>
      <w:sz w:val="44"/>
    </w:rPr>
  </w:style>
  <w:style w:type="paragraph" w:styleId="25">
    <w:name w:val="Body Text First Indent"/>
    <w:basedOn w:val="10"/>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2"/>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40</Pages>
  <Words>12714</Words>
  <Characters>13633</Characters>
  <Lines>190</Lines>
  <Paragraphs>53</Paragraphs>
  <TotalTime>1</TotalTime>
  <ScaleCrop>false</ScaleCrop>
  <LinksUpToDate>false</LinksUpToDate>
  <CharactersWithSpaces>15824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2025-05-15T06:54:00Z</cp:lastPrinted>
  <dcterms:modified xsi:type="dcterms:W3CDTF">2025-09-05T06:37:44Z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