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赣五公园东侧临江道路沥青摊铺-沥青材料采购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ZSGC2025CG007</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 xml:space="preserve">  </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1"/>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17</w:t>
      </w:r>
    </w:p>
    <w:p w14:paraId="089DE125">
      <w:pPr>
        <w:pStyle w:val="21"/>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赣五公园东侧临江道路沥青摊铺-沥青材料采购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ZSGC2025CG007</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ZSGC2025CG007</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赣五公园东侧临江道路沥青摊铺-沥青材料采购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872472 </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17</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 xml:space="preserve"> 14：30</w:t>
      </w:r>
      <w:bookmarkStart w:id="58" w:name="_GoBack"/>
      <w:bookmarkEnd w:id="58"/>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10"/>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江西中善工程管理有限公司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赣五公园东侧临江道路沥青摊铺-沥青材料采购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ZSGC2025CG007</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ZSGC2025CG007</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人民币伍仟叁佰肆拾肆元（¥5344元）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7175"/>
      <w:bookmarkStart w:id="3" w:name="_Toc31761"/>
      <w:bookmarkStart w:id="4" w:name="_Toc147282124"/>
      <w:bookmarkStart w:id="5" w:name="_Toc324678925"/>
      <w:bookmarkStart w:id="6" w:name="_Toc377982317"/>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江西中善工程管理有限公司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890AAB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872472</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52C9D25D">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参选人自本项目开标时间前 3 年内（以合同签订时间为准）承揽过本项目类似项目，每具有一份业绩加 1分，最多加5分。 </w:t>
            </w:r>
          </w:p>
          <w:p w14:paraId="34437E51">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w:t>
            </w:r>
            <w:r>
              <w:rPr>
                <w:rFonts w:hint="eastAsia" w:ascii="宋体" w:hAnsi="宋体" w:cs="宋体"/>
                <w:color w:val="auto"/>
                <w:kern w:val="0"/>
                <w:sz w:val="24"/>
                <w:szCs w:val="24"/>
                <w:highlight w:val="none"/>
                <w:lang w:val="en-US" w:eastAsia="zh-CN" w:bidi="ar"/>
              </w:rPr>
              <w:t>方案</w:t>
            </w:r>
            <w:r>
              <w:rPr>
                <w:rFonts w:hint="eastAsia" w:ascii="宋体" w:hAnsi="宋体" w:eastAsia="宋体" w:cs="宋体"/>
                <w:color w:val="auto"/>
                <w:kern w:val="0"/>
                <w:sz w:val="24"/>
                <w:szCs w:val="24"/>
                <w:highlight w:val="none"/>
                <w:lang w:val="en-US" w:eastAsia="zh-CN" w:bidi="ar"/>
              </w:rPr>
              <w:t xml:space="preserve">                               （5分)</w:t>
            </w:r>
          </w:p>
        </w:tc>
        <w:tc>
          <w:tcPr>
            <w:tcW w:w="7304" w:type="dxa"/>
            <w:noWrap w:val="0"/>
            <w:vAlign w:val="center"/>
          </w:tcPr>
          <w:p w14:paraId="33DA9277">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投标人须提供服务方案包含但不限于：①服务内容②服务方式③ </w:t>
            </w:r>
          </w:p>
          <w:p w14:paraId="77DB62EA">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服务响应措施④服务组织安排； </w:t>
            </w:r>
          </w:p>
          <w:p w14:paraId="01547173">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内容表述切实合理可行，响应快，组织安排合理，可执行性强的 </w:t>
            </w:r>
          </w:p>
          <w:p w14:paraId="5483E1FF">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得 </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分；内容表述基本合理可行，响应较快，组织安排基本合理，可执行性较强的得 3 分；内容表述合理一般可行，响应一般，组织安排一般，可执行性一般的得 1 分。</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评审依据：</w:t>
            </w:r>
            <w:r>
              <w:rPr>
                <w:rFonts w:hint="eastAsia" w:ascii="宋体" w:hAnsi="宋体" w:cs="宋体"/>
                <w:b/>
                <w:bCs/>
                <w:color w:val="auto"/>
                <w:kern w:val="0"/>
                <w:sz w:val="24"/>
                <w:szCs w:val="24"/>
                <w:highlight w:val="none"/>
                <w:lang w:val="en-US" w:eastAsia="zh-CN" w:bidi="ar"/>
              </w:rPr>
              <w:t>根据</w:t>
            </w:r>
            <w:r>
              <w:rPr>
                <w:rFonts w:hint="eastAsia" w:ascii="宋体" w:hAnsi="宋体" w:eastAsia="宋体" w:cs="宋体"/>
                <w:b/>
                <w:bCs/>
                <w:color w:val="auto"/>
                <w:kern w:val="0"/>
                <w:sz w:val="24"/>
                <w:szCs w:val="24"/>
                <w:highlight w:val="none"/>
                <w:lang w:val="en-US" w:eastAsia="zh-CN" w:bidi="ar"/>
              </w:rPr>
              <w:t>参选文件中提供的售后服务</w:t>
            </w:r>
            <w:r>
              <w:rPr>
                <w:rFonts w:hint="eastAsia" w:ascii="宋体" w:hAnsi="宋体" w:cs="宋体"/>
                <w:b/>
                <w:bCs/>
                <w:color w:val="auto"/>
                <w:kern w:val="0"/>
                <w:sz w:val="24"/>
                <w:szCs w:val="24"/>
                <w:highlight w:val="none"/>
                <w:lang w:val="en-US" w:eastAsia="zh-CN" w:bidi="ar"/>
              </w:rPr>
              <w:t>方案计分</w:t>
            </w:r>
            <w:r>
              <w:rPr>
                <w:rFonts w:hint="eastAsia" w:ascii="宋体" w:hAnsi="宋体" w:eastAsia="宋体" w:cs="宋体"/>
                <w:b/>
                <w:bCs/>
                <w:color w:val="auto"/>
                <w:kern w:val="0"/>
                <w:sz w:val="24"/>
                <w:szCs w:val="24"/>
                <w:highlight w:val="none"/>
                <w:lang w:val="en-US" w:eastAsia="zh-CN" w:bidi="ar"/>
              </w:rPr>
              <w:t xml:space="preserve">。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4463EA2F">
            <w:pPr>
              <w:spacing w:line="420" w:lineRule="exact"/>
              <w:jc w:val="both"/>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 xml:space="preserve">服务方案 </w:t>
            </w:r>
          </w:p>
          <w:p w14:paraId="30CCE43E">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12B17F2B">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为保障货物运输，供应商提供的运输方案包括但不限于安全保障措施和质量保障措施。</w:t>
            </w:r>
          </w:p>
          <w:p w14:paraId="527CE4E1">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安全保障措施有完整的安全管理制度和有效的安全防护制度得10分；有较完整的安全管理制度和较有效的安全防护制度得5分；一般性得2分；</w:t>
            </w:r>
          </w:p>
          <w:p w14:paraId="34508DFC">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质量保障有完整的质量管理体系的得10分；有较完整的管理体系得5分，一般性的得2分。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eastAsia="宋体" w:cs="宋体"/>
                <w:b/>
                <w:bCs/>
                <w:color w:val="auto"/>
                <w:sz w:val="24"/>
                <w:szCs w:val="24"/>
                <w:highlight w:val="none"/>
                <w:lang w:eastAsia="zh-CN"/>
              </w:rPr>
              <w:t>服务方案</w:t>
            </w:r>
            <w:r>
              <w:rPr>
                <w:rFonts w:hint="eastAsia" w:ascii="宋体" w:hAnsi="宋体" w:eastAsia="宋体" w:cs="宋体"/>
                <w:b/>
                <w:bCs/>
                <w:color w:val="auto"/>
                <w:sz w:val="24"/>
                <w:szCs w:val="24"/>
                <w:highlight w:val="none"/>
              </w:rPr>
              <w:t>计分。</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pPr w:leftFromText="180" w:rightFromText="180" w:vertAnchor="text" w:horzAnchor="page" w:tblpXSpec="center" w:tblpY="621"/>
        <w:tblOverlap w:val="never"/>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6"/>
        <w:gridCol w:w="1050"/>
        <w:gridCol w:w="3315"/>
        <w:gridCol w:w="615"/>
        <w:gridCol w:w="945"/>
        <w:gridCol w:w="855"/>
        <w:gridCol w:w="600"/>
        <w:gridCol w:w="1065"/>
        <w:gridCol w:w="1215"/>
      </w:tblGrid>
      <w:tr w14:paraId="668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586" w:type="dxa"/>
            <w:shd w:val="clear" w:color="auto" w:fill="auto"/>
            <w:vAlign w:val="center"/>
          </w:tcPr>
          <w:p w14:paraId="1235F5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50" w:type="dxa"/>
            <w:shd w:val="clear" w:color="auto" w:fill="auto"/>
            <w:vAlign w:val="center"/>
          </w:tcPr>
          <w:p w14:paraId="368507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3315" w:type="dxa"/>
            <w:shd w:val="clear" w:color="auto" w:fill="auto"/>
            <w:vAlign w:val="center"/>
          </w:tcPr>
          <w:p w14:paraId="36ABD7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15" w:type="dxa"/>
            <w:shd w:val="clear" w:color="auto" w:fill="auto"/>
            <w:vAlign w:val="center"/>
          </w:tcPr>
          <w:p w14:paraId="0668E3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45" w:type="dxa"/>
            <w:shd w:val="clear" w:color="auto" w:fill="auto"/>
            <w:vAlign w:val="center"/>
          </w:tcPr>
          <w:p w14:paraId="4487A5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55" w:type="dxa"/>
            <w:shd w:val="clear" w:color="auto" w:fill="auto"/>
            <w:vAlign w:val="center"/>
          </w:tcPr>
          <w:p w14:paraId="6432E3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含税单价（元）</w:t>
            </w:r>
          </w:p>
        </w:tc>
        <w:tc>
          <w:tcPr>
            <w:tcW w:w="600" w:type="dxa"/>
            <w:shd w:val="clear" w:color="auto" w:fill="auto"/>
            <w:vAlign w:val="center"/>
          </w:tcPr>
          <w:p w14:paraId="5BB940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税率</w:t>
            </w:r>
          </w:p>
        </w:tc>
        <w:tc>
          <w:tcPr>
            <w:tcW w:w="1065" w:type="dxa"/>
            <w:shd w:val="clear" w:color="auto" w:fill="auto"/>
            <w:vAlign w:val="center"/>
          </w:tcPr>
          <w:p w14:paraId="26058A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c>
          <w:tcPr>
            <w:tcW w:w="1215" w:type="dxa"/>
            <w:shd w:val="clear" w:color="auto" w:fill="auto"/>
            <w:vAlign w:val="center"/>
          </w:tcPr>
          <w:p w14:paraId="790737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E82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86" w:type="dxa"/>
            <w:shd w:val="clear" w:color="auto" w:fill="auto"/>
            <w:vAlign w:val="center"/>
          </w:tcPr>
          <w:p w14:paraId="1941F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0" w:type="dxa"/>
            <w:shd w:val="clear" w:color="auto" w:fill="auto"/>
            <w:vAlign w:val="center"/>
          </w:tcPr>
          <w:p w14:paraId="06427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粘层</w:t>
            </w:r>
          </w:p>
        </w:tc>
        <w:tc>
          <w:tcPr>
            <w:tcW w:w="3315" w:type="dxa"/>
            <w:shd w:val="clear" w:color="auto" w:fill="auto"/>
            <w:vAlign w:val="center"/>
          </w:tcPr>
          <w:p w14:paraId="7F128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粘层PC-3，撒布量0.3L-0.6L/㎡，两层</w:t>
            </w:r>
          </w:p>
        </w:tc>
        <w:tc>
          <w:tcPr>
            <w:tcW w:w="615" w:type="dxa"/>
            <w:shd w:val="clear" w:color="auto" w:fill="auto"/>
            <w:vAlign w:val="center"/>
          </w:tcPr>
          <w:p w14:paraId="04B72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45" w:type="dxa"/>
            <w:shd w:val="clear" w:color="auto" w:fill="auto"/>
            <w:vAlign w:val="center"/>
          </w:tcPr>
          <w:p w14:paraId="04F9F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15000.00 </w:t>
            </w:r>
          </w:p>
        </w:tc>
        <w:tc>
          <w:tcPr>
            <w:tcW w:w="855" w:type="dxa"/>
            <w:shd w:val="clear" w:color="auto" w:fill="auto"/>
            <w:vAlign w:val="center"/>
          </w:tcPr>
          <w:p w14:paraId="31BEA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 </w:t>
            </w:r>
          </w:p>
        </w:tc>
        <w:tc>
          <w:tcPr>
            <w:tcW w:w="600" w:type="dxa"/>
            <w:shd w:val="clear" w:color="auto" w:fill="auto"/>
            <w:vAlign w:val="center"/>
          </w:tcPr>
          <w:p w14:paraId="501C9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65" w:type="dxa"/>
            <w:shd w:val="clear" w:color="auto" w:fill="auto"/>
            <w:vAlign w:val="center"/>
          </w:tcPr>
          <w:p w14:paraId="4E4CD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30000.00 </w:t>
            </w:r>
          </w:p>
        </w:tc>
        <w:tc>
          <w:tcPr>
            <w:tcW w:w="1215" w:type="dxa"/>
            <w:shd w:val="clear" w:color="auto" w:fill="auto"/>
            <w:vAlign w:val="center"/>
          </w:tcPr>
          <w:p w14:paraId="357B3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摊铺面积7500m2*2层</w:t>
            </w:r>
          </w:p>
        </w:tc>
      </w:tr>
      <w:tr w14:paraId="5EF7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86" w:type="dxa"/>
            <w:shd w:val="clear" w:color="auto" w:fill="auto"/>
            <w:vAlign w:val="center"/>
          </w:tcPr>
          <w:p w14:paraId="695A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0" w:type="dxa"/>
            <w:shd w:val="clear" w:color="auto" w:fill="auto"/>
            <w:vAlign w:val="center"/>
          </w:tcPr>
          <w:p w14:paraId="32011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细粒式沥青混凝土</w:t>
            </w:r>
          </w:p>
        </w:tc>
        <w:tc>
          <w:tcPr>
            <w:tcW w:w="3315" w:type="dxa"/>
            <w:shd w:val="clear" w:color="auto" w:fill="auto"/>
            <w:vAlign w:val="center"/>
          </w:tcPr>
          <w:p w14:paraId="7AECD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AC-13，厚度4cm</w:t>
            </w:r>
          </w:p>
        </w:tc>
        <w:tc>
          <w:tcPr>
            <w:tcW w:w="615" w:type="dxa"/>
            <w:shd w:val="clear" w:color="auto" w:fill="auto"/>
            <w:vAlign w:val="center"/>
          </w:tcPr>
          <w:p w14:paraId="31367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45" w:type="dxa"/>
            <w:shd w:val="clear" w:color="auto" w:fill="auto"/>
            <w:vAlign w:val="center"/>
          </w:tcPr>
          <w:p w14:paraId="39406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300.00 </w:t>
            </w:r>
          </w:p>
        </w:tc>
        <w:tc>
          <w:tcPr>
            <w:tcW w:w="855" w:type="dxa"/>
            <w:shd w:val="clear" w:color="auto" w:fill="auto"/>
            <w:vAlign w:val="center"/>
          </w:tcPr>
          <w:p w14:paraId="7B14B1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1150.00 </w:t>
            </w:r>
          </w:p>
        </w:tc>
        <w:tc>
          <w:tcPr>
            <w:tcW w:w="600" w:type="dxa"/>
            <w:shd w:val="clear" w:color="auto" w:fill="auto"/>
            <w:vAlign w:val="center"/>
          </w:tcPr>
          <w:p w14:paraId="2CD8A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65" w:type="dxa"/>
            <w:shd w:val="clear" w:color="auto" w:fill="auto"/>
            <w:vAlign w:val="center"/>
          </w:tcPr>
          <w:p w14:paraId="7AE74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345000.00 </w:t>
            </w:r>
          </w:p>
        </w:tc>
        <w:tc>
          <w:tcPr>
            <w:tcW w:w="1215" w:type="dxa"/>
            <w:shd w:val="clear" w:color="auto" w:fill="auto"/>
            <w:vAlign w:val="center"/>
          </w:tcPr>
          <w:p w14:paraId="6E230752">
            <w:pPr>
              <w:jc w:val="center"/>
              <w:rPr>
                <w:rFonts w:hint="eastAsia" w:ascii="宋体" w:hAnsi="宋体" w:eastAsia="宋体" w:cs="宋体"/>
                <w:i w:val="0"/>
                <w:iCs w:val="0"/>
                <w:color w:val="000000"/>
                <w:sz w:val="18"/>
                <w:szCs w:val="18"/>
                <w:u w:val="none"/>
              </w:rPr>
            </w:pPr>
          </w:p>
        </w:tc>
      </w:tr>
      <w:tr w14:paraId="20D5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86" w:type="dxa"/>
            <w:shd w:val="clear" w:color="auto" w:fill="auto"/>
            <w:vAlign w:val="center"/>
          </w:tcPr>
          <w:p w14:paraId="7E087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50" w:type="dxa"/>
            <w:shd w:val="clear" w:color="auto" w:fill="auto"/>
            <w:vAlign w:val="center"/>
          </w:tcPr>
          <w:p w14:paraId="6BB89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中粒式沥青混凝土</w:t>
            </w:r>
          </w:p>
        </w:tc>
        <w:tc>
          <w:tcPr>
            <w:tcW w:w="3315" w:type="dxa"/>
            <w:shd w:val="clear" w:color="auto" w:fill="auto"/>
            <w:vAlign w:val="center"/>
          </w:tcPr>
          <w:p w14:paraId="4EAA2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AC-20，厚度6cm</w:t>
            </w:r>
          </w:p>
        </w:tc>
        <w:tc>
          <w:tcPr>
            <w:tcW w:w="615" w:type="dxa"/>
            <w:shd w:val="clear" w:color="auto" w:fill="auto"/>
            <w:vAlign w:val="center"/>
          </w:tcPr>
          <w:p w14:paraId="11E8B4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45" w:type="dxa"/>
            <w:shd w:val="clear" w:color="auto" w:fill="auto"/>
            <w:vAlign w:val="center"/>
          </w:tcPr>
          <w:p w14:paraId="0454A6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450.00 </w:t>
            </w:r>
          </w:p>
        </w:tc>
        <w:tc>
          <w:tcPr>
            <w:tcW w:w="855" w:type="dxa"/>
            <w:shd w:val="clear" w:color="auto" w:fill="auto"/>
            <w:vAlign w:val="center"/>
          </w:tcPr>
          <w:p w14:paraId="674949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980.00 </w:t>
            </w:r>
          </w:p>
        </w:tc>
        <w:tc>
          <w:tcPr>
            <w:tcW w:w="600" w:type="dxa"/>
            <w:shd w:val="clear" w:color="auto" w:fill="auto"/>
            <w:vAlign w:val="center"/>
          </w:tcPr>
          <w:p w14:paraId="61268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65" w:type="dxa"/>
            <w:shd w:val="clear" w:color="auto" w:fill="auto"/>
            <w:vAlign w:val="center"/>
          </w:tcPr>
          <w:p w14:paraId="710438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441000.00 </w:t>
            </w:r>
          </w:p>
        </w:tc>
        <w:tc>
          <w:tcPr>
            <w:tcW w:w="1215" w:type="dxa"/>
            <w:shd w:val="clear" w:color="auto" w:fill="auto"/>
            <w:vAlign w:val="center"/>
          </w:tcPr>
          <w:p w14:paraId="18D3E489">
            <w:pPr>
              <w:jc w:val="center"/>
              <w:rPr>
                <w:rFonts w:hint="eastAsia" w:ascii="宋体" w:hAnsi="宋体" w:eastAsia="宋体" w:cs="宋体"/>
                <w:i w:val="0"/>
                <w:iCs w:val="0"/>
                <w:color w:val="000000"/>
                <w:sz w:val="18"/>
                <w:szCs w:val="18"/>
                <w:u w:val="none"/>
              </w:rPr>
            </w:pPr>
          </w:p>
        </w:tc>
      </w:tr>
      <w:tr w14:paraId="6D4A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0" w:hRule="atLeast"/>
          <w:jc w:val="center"/>
        </w:trPr>
        <w:tc>
          <w:tcPr>
            <w:tcW w:w="586" w:type="dxa"/>
            <w:shd w:val="clear" w:color="auto" w:fill="auto"/>
            <w:vAlign w:val="center"/>
          </w:tcPr>
          <w:p w14:paraId="4ECB8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50" w:type="dxa"/>
            <w:shd w:val="clear" w:color="auto" w:fill="auto"/>
            <w:vAlign w:val="center"/>
          </w:tcPr>
          <w:p w14:paraId="301BD9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抗裂贴</w:t>
            </w:r>
          </w:p>
        </w:tc>
        <w:tc>
          <w:tcPr>
            <w:tcW w:w="3315" w:type="dxa"/>
            <w:shd w:val="clear" w:color="auto" w:fill="auto"/>
            <w:vAlign w:val="center"/>
          </w:tcPr>
          <w:p w14:paraId="77BA6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1、贴缝宽度：32cm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2、抗拉强度≥15KN/m，耐温性≥170℃，单位面积质量120~160g/cm2，纵、横向拉伸率(25℃)≥25%，CBR顶破强度≥2kN</w:t>
            </w:r>
          </w:p>
        </w:tc>
        <w:tc>
          <w:tcPr>
            <w:tcW w:w="615" w:type="dxa"/>
            <w:shd w:val="clear" w:color="auto" w:fill="auto"/>
            <w:vAlign w:val="center"/>
          </w:tcPr>
          <w:p w14:paraId="2072D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45" w:type="dxa"/>
            <w:shd w:val="clear" w:color="auto" w:fill="auto"/>
            <w:vAlign w:val="center"/>
          </w:tcPr>
          <w:p w14:paraId="243A1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896.00 </w:t>
            </w:r>
          </w:p>
        </w:tc>
        <w:tc>
          <w:tcPr>
            <w:tcW w:w="855" w:type="dxa"/>
            <w:shd w:val="clear" w:color="auto" w:fill="auto"/>
            <w:vAlign w:val="center"/>
          </w:tcPr>
          <w:p w14:paraId="64626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00" w:type="dxa"/>
            <w:shd w:val="clear" w:color="auto" w:fill="auto"/>
            <w:vAlign w:val="center"/>
          </w:tcPr>
          <w:p w14:paraId="5BEAD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65" w:type="dxa"/>
            <w:shd w:val="clear" w:color="auto" w:fill="auto"/>
            <w:vAlign w:val="center"/>
          </w:tcPr>
          <w:p w14:paraId="18235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13440.00 </w:t>
            </w:r>
          </w:p>
        </w:tc>
        <w:tc>
          <w:tcPr>
            <w:tcW w:w="1215" w:type="dxa"/>
            <w:shd w:val="clear" w:color="auto" w:fill="auto"/>
            <w:vAlign w:val="center"/>
          </w:tcPr>
          <w:p w14:paraId="25E06E6D">
            <w:pPr>
              <w:jc w:val="center"/>
              <w:rPr>
                <w:rFonts w:hint="eastAsia" w:ascii="宋体" w:hAnsi="宋体" w:eastAsia="宋体" w:cs="宋体"/>
                <w:i w:val="0"/>
                <w:iCs w:val="0"/>
                <w:color w:val="000000"/>
                <w:sz w:val="18"/>
                <w:szCs w:val="18"/>
                <w:u w:val="none"/>
              </w:rPr>
            </w:pPr>
          </w:p>
        </w:tc>
      </w:tr>
      <w:tr w14:paraId="40F1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86" w:type="dxa"/>
            <w:shd w:val="clear" w:color="auto" w:fill="auto"/>
            <w:vAlign w:val="center"/>
          </w:tcPr>
          <w:p w14:paraId="05678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50" w:type="dxa"/>
            <w:shd w:val="clear" w:color="auto" w:fill="auto"/>
            <w:vAlign w:val="center"/>
          </w:tcPr>
          <w:p w14:paraId="33C31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热沥青填缝</w:t>
            </w:r>
          </w:p>
        </w:tc>
        <w:tc>
          <w:tcPr>
            <w:tcW w:w="3315" w:type="dxa"/>
            <w:shd w:val="clear" w:color="auto" w:fill="auto"/>
            <w:vAlign w:val="center"/>
          </w:tcPr>
          <w:p w14:paraId="4DC0AE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1、名称：热沥青填缝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2、裂缝宽1-2cm，缝深4cm</w:t>
            </w:r>
          </w:p>
        </w:tc>
        <w:tc>
          <w:tcPr>
            <w:tcW w:w="615" w:type="dxa"/>
            <w:shd w:val="clear" w:color="auto" w:fill="auto"/>
            <w:vAlign w:val="center"/>
          </w:tcPr>
          <w:p w14:paraId="1D71C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45" w:type="dxa"/>
            <w:shd w:val="clear" w:color="auto" w:fill="auto"/>
            <w:vAlign w:val="center"/>
          </w:tcPr>
          <w:p w14:paraId="3834F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3912.00 </w:t>
            </w:r>
          </w:p>
        </w:tc>
        <w:tc>
          <w:tcPr>
            <w:tcW w:w="855" w:type="dxa"/>
            <w:shd w:val="clear" w:color="auto" w:fill="auto"/>
            <w:vAlign w:val="center"/>
          </w:tcPr>
          <w:p w14:paraId="6E204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11.00 </w:t>
            </w:r>
          </w:p>
        </w:tc>
        <w:tc>
          <w:tcPr>
            <w:tcW w:w="600" w:type="dxa"/>
            <w:shd w:val="clear" w:color="auto" w:fill="auto"/>
            <w:vAlign w:val="center"/>
          </w:tcPr>
          <w:p w14:paraId="41E27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65" w:type="dxa"/>
            <w:shd w:val="clear" w:color="auto" w:fill="auto"/>
            <w:vAlign w:val="center"/>
          </w:tcPr>
          <w:p w14:paraId="788157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43032.00 </w:t>
            </w:r>
          </w:p>
        </w:tc>
        <w:tc>
          <w:tcPr>
            <w:tcW w:w="1215" w:type="dxa"/>
            <w:shd w:val="clear" w:color="auto" w:fill="auto"/>
            <w:vAlign w:val="center"/>
          </w:tcPr>
          <w:p w14:paraId="79D52294">
            <w:pPr>
              <w:jc w:val="left"/>
              <w:rPr>
                <w:rFonts w:hint="eastAsia" w:ascii="宋体" w:hAnsi="宋体" w:eastAsia="宋体" w:cs="宋体"/>
                <w:i w:val="0"/>
                <w:iCs w:val="0"/>
                <w:color w:val="000000"/>
                <w:sz w:val="18"/>
                <w:szCs w:val="18"/>
                <w:u w:val="none"/>
              </w:rPr>
            </w:pPr>
          </w:p>
        </w:tc>
      </w:tr>
      <w:tr w14:paraId="5052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jc w:val="center"/>
        </w:trPr>
        <w:tc>
          <w:tcPr>
            <w:tcW w:w="7966" w:type="dxa"/>
            <w:gridSpan w:val="7"/>
            <w:shd w:val="clear" w:color="auto" w:fill="auto"/>
            <w:vAlign w:val="center"/>
          </w:tcPr>
          <w:p w14:paraId="6F361D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c>
          <w:tcPr>
            <w:tcW w:w="1065" w:type="dxa"/>
            <w:shd w:val="clear" w:color="auto" w:fill="auto"/>
            <w:vAlign w:val="center"/>
          </w:tcPr>
          <w:p w14:paraId="384226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872472</w:t>
            </w:r>
            <w:r>
              <w:rPr>
                <w:rFonts w:hint="eastAsia" w:ascii="宋体" w:hAnsi="宋体" w:eastAsia="宋体" w:cs="宋体"/>
                <w:b/>
                <w:bCs/>
                <w:i w:val="0"/>
                <w:iCs w:val="0"/>
                <w:color w:val="000000"/>
                <w:kern w:val="0"/>
                <w:sz w:val="18"/>
                <w:szCs w:val="18"/>
                <w:u w:val="none"/>
                <w:lang w:val="en-US" w:eastAsia="zh-CN" w:bidi="ar"/>
              </w:rPr>
              <w:t xml:space="preserve">.00 </w:t>
            </w:r>
          </w:p>
        </w:tc>
        <w:tc>
          <w:tcPr>
            <w:tcW w:w="1215" w:type="dxa"/>
            <w:shd w:val="clear" w:color="auto" w:fill="auto"/>
            <w:vAlign w:val="center"/>
          </w:tcPr>
          <w:p w14:paraId="3BE7D73D">
            <w:pPr>
              <w:jc w:val="center"/>
              <w:rPr>
                <w:rFonts w:hint="eastAsia" w:ascii="宋体" w:hAnsi="宋体" w:eastAsia="宋体" w:cs="宋体"/>
                <w:b/>
                <w:bCs/>
                <w:i w:val="0"/>
                <w:iCs w:val="0"/>
                <w:color w:val="000000"/>
                <w:sz w:val="18"/>
                <w:szCs w:val="18"/>
                <w:u w:val="none"/>
              </w:rPr>
            </w:pPr>
          </w:p>
        </w:tc>
      </w:tr>
      <w:tr w14:paraId="5ACC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0" w:hRule="atLeast"/>
          <w:jc w:val="center"/>
        </w:trPr>
        <w:tc>
          <w:tcPr>
            <w:tcW w:w="10246" w:type="dxa"/>
            <w:gridSpan w:val="9"/>
            <w:shd w:val="clear" w:color="auto" w:fill="auto"/>
            <w:vAlign w:val="center"/>
          </w:tcPr>
          <w:p w14:paraId="734AB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备注：1、以上材料含税单价均包括运、装卸到场、摊铺等一切费用；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2、沥青混凝土容重按2.4t/m3计；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3、招标数量为按设计图纸理论计量，结算按实调整；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4、暂估价材料结算据实调整。</w:t>
            </w:r>
          </w:p>
        </w:tc>
      </w:tr>
    </w:tbl>
    <w:p w14:paraId="464D45C4">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14:paraId="60BF3886">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pPr w:leftFromText="180" w:rightFromText="180" w:vertAnchor="text" w:horzAnchor="page" w:tblpXSpec="center" w:tblpY="621"/>
        <w:tblOverlap w:val="never"/>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6"/>
        <w:gridCol w:w="1050"/>
        <w:gridCol w:w="3315"/>
        <w:gridCol w:w="615"/>
        <w:gridCol w:w="945"/>
        <w:gridCol w:w="600"/>
        <w:gridCol w:w="1215"/>
      </w:tblGrid>
      <w:tr w14:paraId="1024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586" w:type="dxa"/>
            <w:shd w:val="clear" w:color="auto" w:fill="auto"/>
            <w:vAlign w:val="center"/>
          </w:tcPr>
          <w:p w14:paraId="24AC95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50" w:type="dxa"/>
            <w:shd w:val="clear" w:color="auto" w:fill="auto"/>
            <w:vAlign w:val="center"/>
          </w:tcPr>
          <w:p w14:paraId="5B4F13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3315" w:type="dxa"/>
            <w:shd w:val="clear" w:color="auto" w:fill="auto"/>
            <w:vAlign w:val="center"/>
          </w:tcPr>
          <w:p w14:paraId="2D1C79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15" w:type="dxa"/>
            <w:shd w:val="clear" w:color="auto" w:fill="auto"/>
            <w:vAlign w:val="center"/>
          </w:tcPr>
          <w:p w14:paraId="028BF7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45" w:type="dxa"/>
            <w:shd w:val="clear" w:color="auto" w:fill="auto"/>
            <w:vAlign w:val="center"/>
          </w:tcPr>
          <w:p w14:paraId="736C57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00" w:type="dxa"/>
            <w:shd w:val="clear" w:color="auto" w:fill="auto"/>
            <w:vAlign w:val="center"/>
          </w:tcPr>
          <w:p w14:paraId="7EFFC2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税率</w:t>
            </w:r>
          </w:p>
        </w:tc>
        <w:tc>
          <w:tcPr>
            <w:tcW w:w="1215" w:type="dxa"/>
            <w:shd w:val="clear" w:color="auto" w:fill="auto"/>
            <w:vAlign w:val="center"/>
          </w:tcPr>
          <w:p w14:paraId="01B7A1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55D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86" w:type="dxa"/>
            <w:shd w:val="clear" w:color="auto" w:fill="auto"/>
            <w:vAlign w:val="center"/>
          </w:tcPr>
          <w:p w14:paraId="62633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0" w:type="dxa"/>
            <w:shd w:val="clear" w:color="auto" w:fill="auto"/>
            <w:vAlign w:val="center"/>
          </w:tcPr>
          <w:p w14:paraId="42588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粘层</w:t>
            </w:r>
          </w:p>
        </w:tc>
        <w:tc>
          <w:tcPr>
            <w:tcW w:w="3315" w:type="dxa"/>
            <w:shd w:val="clear" w:color="auto" w:fill="auto"/>
            <w:vAlign w:val="center"/>
          </w:tcPr>
          <w:p w14:paraId="2A1EE0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粘层PC-3，撒布量0.3L-0.6L/㎡，两层</w:t>
            </w:r>
          </w:p>
        </w:tc>
        <w:tc>
          <w:tcPr>
            <w:tcW w:w="615" w:type="dxa"/>
            <w:shd w:val="clear" w:color="auto" w:fill="auto"/>
            <w:vAlign w:val="center"/>
          </w:tcPr>
          <w:p w14:paraId="2395B6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45" w:type="dxa"/>
            <w:shd w:val="clear" w:color="auto" w:fill="auto"/>
            <w:vAlign w:val="center"/>
          </w:tcPr>
          <w:p w14:paraId="183BFC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15000.00 </w:t>
            </w:r>
          </w:p>
        </w:tc>
        <w:tc>
          <w:tcPr>
            <w:tcW w:w="600" w:type="dxa"/>
            <w:shd w:val="clear" w:color="auto" w:fill="auto"/>
            <w:vAlign w:val="center"/>
          </w:tcPr>
          <w:p w14:paraId="4E79F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15" w:type="dxa"/>
            <w:shd w:val="clear" w:color="auto" w:fill="auto"/>
            <w:vAlign w:val="center"/>
          </w:tcPr>
          <w:p w14:paraId="3F3DB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摊铺面积7500m2*2层</w:t>
            </w:r>
          </w:p>
        </w:tc>
      </w:tr>
      <w:tr w14:paraId="5957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86" w:type="dxa"/>
            <w:shd w:val="clear" w:color="auto" w:fill="auto"/>
            <w:vAlign w:val="center"/>
          </w:tcPr>
          <w:p w14:paraId="42FFF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0" w:type="dxa"/>
            <w:shd w:val="clear" w:color="auto" w:fill="auto"/>
            <w:vAlign w:val="center"/>
          </w:tcPr>
          <w:p w14:paraId="088B7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细粒式沥青混凝土</w:t>
            </w:r>
          </w:p>
        </w:tc>
        <w:tc>
          <w:tcPr>
            <w:tcW w:w="3315" w:type="dxa"/>
            <w:shd w:val="clear" w:color="auto" w:fill="auto"/>
            <w:vAlign w:val="center"/>
          </w:tcPr>
          <w:p w14:paraId="2332A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AC-13，厚度4cm</w:t>
            </w:r>
          </w:p>
        </w:tc>
        <w:tc>
          <w:tcPr>
            <w:tcW w:w="615" w:type="dxa"/>
            <w:shd w:val="clear" w:color="auto" w:fill="auto"/>
            <w:vAlign w:val="center"/>
          </w:tcPr>
          <w:p w14:paraId="0D78B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45" w:type="dxa"/>
            <w:shd w:val="clear" w:color="auto" w:fill="auto"/>
            <w:vAlign w:val="center"/>
          </w:tcPr>
          <w:p w14:paraId="284E2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300.00 </w:t>
            </w:r>
          </w:p>
        </w:tc>
        <w:tc>
          <w:tcPr>
            <w:tcW w:w="600" w:type="dxa"/>
            <w:shd w:val="clear" w:color="auto" w:fill="auto"/>
            <w:vAlign w:val="center"/>
          </w:tcPr>
          <w:p w14:paraId="242879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15" w:type="dxa"/>
            <w:shd w:val="clear" w:color="auto" w:fill="auto"/>
            <w:vAlign w:val="center"/>
          </w:tcPr>
          <w:p w14:paraId="2DD9C4BF">
            <w:pPr>
              <w:jc w:val="center"/>
              <w:rPr>
                <w:rFonts w:hint="eastAsia" w:ascii="宋体" w:hAnsi="宋体" w:eastAsia="宋体" w:cs="宋体"/>
                <w:i w:val="0"/>
                <w:iCs w:val="0"/>
                <w:color w:val="000000"/>
                <w:sz w:val="18"/>
                <w:szCs w:val="18"/>
                <w:u w:val="none"/>
              </w:rPr>
            </w:pPr>
          </w:p>
        </w:tc>
      </w:tr>
      <w:tr w14:paraId="0E29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86" w:type="dxa"/>
            <w:shd w:val="clear" w:color="auto" w:fill="auto"/>
            <w:vAlign w:val="center"/>
          </w:tcPr>
          <w:p w14:paraId="4615E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50" w:type="dxa"/>
            <w:shd w:val="clear" w:color="auto" w:fill="auto"/>
            <w:vAlign w:val="center"/>
          </w:tcPr>
          <w:p w14:paraId="16341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中粒式沥青混凝土</w:t>
            </w:r>
          </w:p>
        </w:tc>
        <w:tc>
          <w:tcPr>
            <w:tcW w:w="3315" w:type="dxa"/>
            <w:shd w:val="clear" w:color="auto" w:fill="auto"/>
            <w:vAlign w:val="center"/>
          </w:tcPr>
          <w:p w14:paraId="02268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AC-20，厚度6cm</w:t>
            </w:r>
          </w:p>
        </w:tc>
        <w:tc>
          <w:tcPr>
            <w:tcW w:w="615" w:type="dxa"/>
            <w:shd w:val="clear" w:color="auto" w:fill="auto"/>
            <w:vAlign w:val="center"/>
          </w:tcPr>
          <w:p w14:paraId="14A8C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45" w:type="dxa"/>
            <w:shd w:val="clear" w:color="auto" w:fill="auto"/>
            <w:vAlign w:val="center"/>
          </w:tcPr>
          <w:p w14:paraId="30BFCF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450.00 </w:t>
            </w:r>
          </w:p>
        </w:tc>
        <w:tc>
          <w:tcPr>
            <w:tcW w:w="600" w:type="dxa"/>
            <w:shd w:val="clear" w:color="auto" w:fill="auto"/>
            <w:vAlign w:val="center"/>
          </w:tcPr>
          <w:p w14:paraId="7A8E62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15" w:type="dxa"/>
            <w:shd w:val="clear" w:color="auto" w:fill="auto"/>
            <w:vAlign w:val="center"/>
          </w:tcPr>
          <w:p w14:paraId="5375552C">
            <w:pPr>
              <w:jc w:val="center"/>
              <w:rPr>
                <w:rFonts w:hint="eastAsia" w:ascii="宋体" w:hAnsi="宋体" w:eastAsia="宋体" w:cs="宋体"/>
                <w:i w:val="0"/>
                <w:iCs w:val="0"/>
                <w:color w:val="000000"/>
                <w:sz w:val="18"/>
                <w:szCs w:val="18"/>
                <w:u w:val="none"/>
              </w:rPr>
            </w:pPr>
          </w:p>
        </w:tc>
      </w:tr>
      <w:tr w14:paraId="50EB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86" w:type="dxa"/>
            <w:shd w:val="clear" w:color="auto" w:fill="auto"/>
            <w:vAlign w:val="center"/>
          </w:tcPr>
          <w:p w14:paraId="7C9B2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50" w:type="dxa"/>
            <w:shd w:val="clear" w:color="auto" w:fill="auto"/>
            <w:vAlign w:val="center"/>
          </w:tcPr>
          <w:p w14:paraId="418DB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抗裂贴</w:t>
            </w:r>
          </w:p>
        </w:tc>
        <w:tc>
          <w:tcPr>
            <w:tcW w:w="3315" w:type="dxa"/>
            <w:shd w:val="clear" w:color="auto" w:fill="auto"/>
            <w:vAlign w:val="center"/>
          </w:tcPr>
          <w:p w14:paraId="35536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1、贴缝宽度：32cm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2、抗拉强度≥15KN/m，耐温性≥170℃，单位面积质量120~160g/cm2，纵、横向拉伸率(25℃)≥25%，CBR顶破强度≥2kN</w:t>
            </w:r>
          </w:p>
        </w:tc>
        <w:tc>
          <w:tcPr>
            <w:tcW w:w="615" w:type="dxa"/>
            <w:shd w:val="clear" w:color="auto" w:fill="auto"/>
            <w:vAlign w:val="center"/>
          </w:tcPr>
          <w:p w14:paraId="3F1A13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45" w:type="dxa"/>
            <w:shd w:val="clear" w:color="auto" w:fill="auto"/>
            <w:vAlign w:val="center"/>
          </w:tcPr>
          <w:p w14:paraId="68C61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896.00 </w:t>
            </w:r>
          </w:p>
        </w:tc>
        <w:tc>
          <w:tcPr>
            <w:tcW w:w="600" w:type="dxa"/>
            <w:shd w:val="clear" w:color="auto" w:fill="auto"/>
            <w:vAlign w:val="center"/>
          </w:tcPr>
          <w:p w14:paraId="39F0F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15" w:type="dxa"/>
            <w:shd w:val="clear" w:color="auto" w:fill="auto"/>
            <w:vAlign w:val="center"/>
          </w:tcPr>
          <w:p w14:paraId="563238C4">
            <w:pPr>
              <w:jc w:val="center"/>
              <w:rPr>
                <w:rFonts w:hint="eastAsia" w:ascii="宋体" w:hAnsi="宋体" w:eastAsia="宋体" w:cs="宋体"/>
                <w:i w:val="0"/>
                <w:iCs w:val="0"/>
                <w:color w:val="000000"/>
                <w:sz w:val="18"/>
                <w:szCs w:val="18"/>
                <w:u w:val="none"/>
              </w:rPr>
            </w:pPr>
          </w:p>
        </w:tc>
      </w:tr>
      <w:tr w14:paraId="669A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86" w:type="dxa"/>
            <w:shd w:val="clear" w:color="auto" w:fill="auto"/>
            <w:vAlign w:val="center"/>
          </w:tcPr>
          <w:p w14:paraId="054EA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50" w:type="dxa"/>
            <w:shd w:val="clear" w:color="auto" w:fill="auto"/>
            <w:vAlign w:val="center"/>
          </w:tcPr>
          <w:p w14:paraId="74B1D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热沥青填缝</w:t>
            </w:r>
          </w:p>
        </w:tc>
        <w:tc>
          <w:tcPr>
            <w:tcW w:w="3315" w:type="dxa"/>
            <w:shd w:val="clear" w:color="auto" w:fill="auto"/>
            <w:vAlign w:val="center"/>
          </w:tcPr>
          <w:p w14:paraId="337A5E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1、名称：热沥青填缝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2、裂缝宽1-2cm，缝深4cm</w:t>
            </w:r>
          </w:p>
        </w:tc>
        <w:tc>
          <w:tcPr>
            <w:tcW w:w="615" w:type="dxa"/>
            <w:shd w:val="clear" w:color="auto" w:fill="auto"/>
            <w:vAlign w:val="center"/>
          </w:tcPr>
          <w:p w14:paraId="4A473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45" w:type="dxa"/>
            <w:shd w:val="clear" w:color="auto" w:fill="auto"/>
            <w:vAlign w:val="center"/>
          </w:tcPr>
          <w:p w14:paraId="6381F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3912.00 </w:t>
            </w:r>
          </w:p>
        </w:tc>
        <w:tc>
          <w:tcPr>
            <w:tcW w:w="600" w:type="dxa"/>
            <w:shd w:val="clear" w:color="auto" w:fill="auto"/>
            <w:vAlign w:val="center"/>
          </w:tcPr>
          <w:p w14:paraId="44721D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15" w:type="dxa"/>
            <w:shd w:val="clear" w:color="auto" w:fill="auto"/>
            <w:vAlign w:val="center"/>
          </w:tcPr>
          <w:p w14:paraId="4F9D5AD4">
            <w:pPr>
              <w:jc w:val="left"/>
              <w:rPr>
                <w:rFonts w:hint="eastAsia" w:ascii="宋体" w:hAnsi="宋体" w:eastAsia="宋体" w:cs="宋体"/>
                <w:i w:val="0"/>
                <w:iCs w:val="0"/>
                <w:color w:val="000000"/>
                <w:sz w:val="18"/>
                <w:szCs w:val="18"/>
                <w:u w:val="none"/>
              </w:rPr>
            </w:pPr>
          </w:p>
        </w:tc>
      </w:tr>
    </w:tbl>
    <w:p w14:paraId="7D0EA399">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42D3FF1D">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rPr>
        <w:t>交货地点：</w:t>
      </w:r>
      <w:r>
        <w:rPr>
          <w:rFonts w:hint="eastAsia" w:ascii="宋体" w:hAnsi="宋体" w:cs="宋体"/>
          <w:b w:val="0"/>
          <w:bCs w:val="0"/>
          <w:color w:val="auto"/>
          <w:kern w:val="0"/>
          <w:sz w:val="24"/>
          <w:szCs w:val="24"/>
          <w:highlight w:val="none"/>
          <w:lang w:eastAsia="zh-CN"/>
        </w:rPr>
        <w:t>招标人指定地点</w:t>
      </w:r>
      <w:r>
        <w:rPr>
          <w:rFonts w:hint="eastAsia" w:ascii="宋体" w:hAnsi="宋体" w:cs="宋体"/>
          <w:b w:val="0"/>
          <w:bCs w:val="0"/>
          <w:color w:val="auto"/>
          <w:kern w:val="0"/>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 xml:space="preserve"> </w:t>
      </w:r>
    </w:p>
    <w:p w14:paraId="504C0933">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rPr>
        <w:t>2</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交货期限</w:t>
      </w:r>
      <w:r>
        <w:rPr>
          <w:rFonts w:hint="eastAsia"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按甲方要求分批次供应</w:t>
      </w:r>
    </w:p>
    <w:p w14:paraId="324BBA36">
      <w:pPr>
        <w:keepNext w:val="0"/>
        <w:keepLines w:val="0"/>
        <w:widowControl/>
        <w:suppressLineNumbers w:val="0"/>
        <w:jc w:val="left"/>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3、售后服务：</w:t>
      </w:r>
    </w:p>
    <w:p w14:paraId="5DF9CF0F">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（1）自货物验收合格之日起，中标单位对所供货物提供 24 个月的质保期，因货物质量原因导致修理或更换部分的质保期从完工验收合格之日起计算。 </w:t>
      </w:r>
    </w:p>
    <w:p w14:paraId="70D28189">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（2）在初始运行阶段，根据招标人要求，中标单位负责对招标人指定的人员在招标人处进行免费培训，培训内容包括合同货物的操作技能、工作原理、日常维护、故障检修和安全事项等。 </w:t>
      </w:r>
    </w:p>
    <w:p w14:paraId="30418B68">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（3）质保期内，中标单位所提供的维修及技术服务不收取任何费用（含运输、关税、材料、人工、差旅等费用及中标单位在质保期内免费为设备更换备品备件）。 </w:t>
      </w:r>
    </w:p>
    <w:p w14:paraId="3523890C">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（4）质保期后，中标单位向招标人提供终身维修及服务，其费用按不高于材料成本价和历次服务费的标准执行，否则招标人有权按自己核定的价格向中标单位付款。 </w:t>
      </w:r>
    </w:p>
    <w:p w14:paraId="7B483765">
      <w:pPr>
        <w:keepNext w:val="0"/>
        <w:keepLines w:val="0"/>
        <w:widowControl/>
        <w:suppressLineNumbers w:val="0"/>
        <w:ind w:firstLine="480" w:firstLineChars="200"/>
        <w:jc w:val="left"/>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5）质保期内或质保期结束后，如货物出现故障，中标单位在接到招标人通知后二十四小时内须做出响应，四十八小时内免费给予技术支持或到达现场维修排除故障。如中标单位未在规定时间排除故障或更换问题货物，招标人有权委托第三方或自行修理，相关费用由中标单位支付。 </w:t>
      </w:r>
    </w:p>
    <w:p w14:paraId="167AECDE">
      <w:pPr>
        <w:pStyle w:val="1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4、结算方式</w:t>
      </w:r>
    </w:p>
    <w:p w14:paraId="3DCB0B04">
      <w:pPr>
        <w:pStyle w:val="10"/>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4.1结算依据：以甲、乙方双方确认的验收单为依据，单价按双方签订合同约定的价格结算，施工期间材料信息价涨跌幅超出±5%时，由甲乙双方分摊。</w:t>
      </w:r>
    </w:p>
    <w:p w14:paraId="2AD507D0">
      <w:pPr>
        <w:pStyle w:val="1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4.2供货和付款方式：</w:t>
      </w:r>
    </w:p>
    <w:p w14:paraId="673EE3E3">
      <w:pPr>
        <w:pStyle w:val="1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4.2.1甲、乙双方每季度核对供货情况，并编制对账单，双方签字无误后供方于3个工作日内乙方开具增值税专用发票，甲方收到发票后于7个工作日内支付每季度验收货款的70%。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000000"/>
          <w:kern w:val="0"/>
          <w:sz w:val="24"/>
          <w:szCs w:val="24"/>
          <w:highlight w:val="none"/>
          <w:lang w:val="en-US" w:eastAsia="zh-CN" w:bidi="ar"/>
        </w:rPr>
        <w:t>4.2.2工程竣工双方验收合格，并办理结算后，乙方开具增值税专用发票后15个工作日内，甲方向乙方支付至验收材料款的97%，剩余3%作为质量保证金。待缺陷责任期12个月满后且无扣除情形的，一次性无息付清。</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6096038"/>
      <w:bookmarkStart w:id="46" w:name="_Toc323199452"/>
      <w:bookmarkStart w:id="47" w:name="_Toc344409075"/>
      <w:bookmarkStart w:id="48" w:name="_Toc344409279"/>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10"/>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6"/>
              <w:spacing w:line="600" w:lineRule="exact"/>
              <w:jc w:val="center"/>
              <w:rPr>
                <w:rFonts w:hint="eastAsia"/>
                <w:color w:val="000000"/>
                <w:kern w:val="2"/>
                <w:szCs w:val="24"/>
                <w:highlight w:val="none"/>
              </w:rPr>
            </w:pPr>
          </w:p>
        </w:tc>
        <w:tc>
          <w:tcPr>
            <w:tcW w:w="1771" w:type="dxa"/>
            <w:noWrap w:val="0"/>
            <w:vAlign w:val="center"/>
          </w:tcPr>
          <w:p w14:paraId="0C032D89">
            <w:pPr>
              <w:pStyle w:val="16"/>
              <w:spacing w:line="600" w:lineRule="exact"/>
              <w:jc w:val="center"/>
              <w:rPr>
                <w:rFonts w:hint="eastAsia"/>
                <w:color w:val="000000"/>
                <w:kern w:val="2"/>
                <w:szCs w:val="24"/>
                <w:highlight w:val="none"/>
              </w:rPr>
            </w:pPr>
          </w:p>
        </w:tc>
        <w:tc>
          <w:tcPr>
            <w:tcW w:w="1802" w:type="dxa"/>
            <w:noWrap w:val="0"/>
            <w:vAlign w:val="center"/>
          </w:tcPr>
          <w:p w14:paraId="41623FD5">
            <w:pPr>
              <w:pStyle w:val="16"/>
              <w:spacing w:line="600" w:lineRule="exact"/>
              <w:jc w:val="center"/>
              <w:rPr>
                <w:rFonts w:hint="eastAsia"/>
                <w:color w:val="000000"/>
                <w:kern w:val="2"/>
                <w:szCs w:val="24"/>
                <w:highlight w:val="none"/>
              </w:rPr>
            </w:pPr>
          </w:p>
        </w:tc>
        <w:tc>
          <w:tcPr>
            <w:tcW w:w="1597" w:type="dxa"/>
            <w:noWrap w:val="0"/>
            <w:vAlign w:val="center"/>
          </w:tcPr>
          <w:p w14:paraId="1ABD68E8">
            <w:pPr>
              <w:pStyle w:val="16"/>
              <w:spacing w:line="600" w:lineRule="exact"/>
              <w:jc w:val="center"/>
              <w:rPr>
                <w:rFonts w:hint="eastAsia"/>
                <w:color w:val="000000"/>
                <w:kern w:val="2"/>
                <w:szCs w:val="24"/>
                <w:highlight w:val="none"/>
              </w:rPr>
            </w:pPr>
          </w:p>
        </w:tc>
        <w:tc>
          <w:tcPr>
            <w:tcW w:w="1597" w:type="dxa"/>
            <w:noWrap w:val="0"/>
            <w:vAlign w:val="center"/>
          </w:tcPr>
          <w:p w14:paraId="17749724">
            <w:pPr>
              <w:pStyle w:val="16"/>
              <w:spacing w:line="600" w:lineRule="exact"/>
              <w:jc w:val="center"/>
              <w:rPr>
                <w:rFonts w:hint="eastAsia"/>
                <w:color w:val="000000"/>
                <w:kern w:val="2"/>
                <w:szCs w:val="24"/>
                <w:highlight w:val="none"/>
              </w:rPr>
            </w:pPr>
          </w:p>
        </w:tc>
        <w:tc>
          <w:tcPr>
            <w:tcW w:w="1597" w:type="dxa"/>
            <w:noWrap w:val="0"/>
            <w:vAlign w:val="center"/>
          </w:tcPr>
          <w:p w14:paraId="324A653E">
            <w:pPr>
              <w:pStyle w:val="16"/>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6"/>
              <w:spacing w:line="600" w:lineRule="exact"/>
              <w:rPr>
                <w:rFonts w:hint="eastAsia"/>
                <w:color w:val="000000"/>
                <w:kern w:val="2"/>
                <w:szCs w:val="24"/>
                <w:highlight w:val="none"/>
              </w:rPr>
            </w:pPr>
          </w:p>
        </w:tc>
        <w:tc>
          <w:tcPr>
            <w:tcW w:w="1771" w:type="dxa"/>
            <w:noWrap w:val="0"/>
            <w:vAlign w:val="top"/>
          </w:tcPr>
          <w:p w14:paraId="00168F59">
            <w:pPr>
              <w:pStyle w:val="16"/>
              <w:spacing w:line="600" w:lineRule="exact"/>
              <w:rPr>
                <w:rFonts w:hint="eastAsia"/>
                <w:color w:val="000000"/>
                <w:kern w:val="2"/>
                <w:szCs w:val="24"/>
                <w:highlight w:val="none"/>
              </w:rPr>
            </w:pPr>
          </w:p>
        </w:tc>
        <w:tc>
          <w:tcPr>
            <w:tcW w:w="1802" w:type="dxa"/>
            <w:noWrap w:val="0"/>
            <w:vAlign w:val="top"/>
          </w:tcPr>
          <w:p w14:paraId="5EDAF9B1">
            <w:pPr>
              <w:pStyle w:val="16"/>
              <w:spacing w:line="600" w:lineRule="exact"/>
              <w:rPr>
                <w:rFonts w:hint="eastAsia"/>
                <w:color w:val="000000"/>
                <w:kern w:val="2"/>
                <w:szCs w:val="24"/>
                <w:highlight w:val="none"/>
              </w:rPr>
            </w:pPr>
          </w:p>
        </w:tc>
        <w:tc>
          <w:tcPr>
            <w:tcW w:w="1597" w:type="dxa"/>
            <w:noWrap w:val="0"/>
            <w:vAlign w:val="top"/>
          </w:tcPr>
          <w:p w14:paraId="6C1FEF09">
            <w:pPr>
              <w:pStyle w:val="16"/>
              <w:spacing w:line="600" w:lineRule="exact"/>
              <w:rPr>
                <w:rFonts w:hint="eastAsia"/>
                <w:color w:val="000000"/>
                <w:kern w:val="2"/>
                <w:szCs w:val="24"/>
                <w:highlight w:val="none"/>
              </w:rPr>
            </w:pPr>
          </w:p>
        </w:tc>
        <w:tc>
          <w:tcPr>
            <w:tcW w:w="1597" w:type="dxa"/>
            <w:noWrap w:val="0"/>
            <w:vAlign w:val="top"/>
          </w:tcPr>
          <w:p w14:paraId="70B1255C">
            <w:pPr>
              <w:pStyle w:val="16"/>
              <w:spacing w:line="600" w:lineRule="exact"/>
              <w:rPr>
                <w:rFonts w:hint="eastAsia"/>
                <w:color w:val="000000"/>
                <w:kern w:val="2"/>
                <w:szCs w:val="24"/>
                <w:highlight w:val="none"/>
              </w:rPr>
            </w:pPr>
          </w:p>
        </w:tc>
        <w:tc>
          <w:tcPr>
            <w:tcW w:w="1597" w:type="dxa"/>
            <w:noWrap w:val="0"/>
            <w:vAlign w:val="top"/>
          </w:tcPr>
          <w:p w14:paraId="785CE9CE">
            <w:pPr>
              <w:pStyle w:val="16"/>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6"/>
              <w:spacing w:line="600" w:lineRule="exact"/>
              <w:rPr>
                <w:rFonts w:hint="eastAsia"/>
                <w:color w:val="000000"/>
                <w:kern w:val="2"/>
                <w:szCs w:val="24"/>
                <w:highlight w:val="none"/>
              </w:rPr>
            </w:pPr>
          </w:p>
        </w:tc>
        <w:tc>
          <w:tcPr>
            <w:tcW w:w="1771" w:type="dxa"/>
            <w:noWrap w:val="0"/>
            <w:vAlign w:val="top"/>
          </w:tcPr>
          <w:p w14:paraId="6D58031D">
            <w:pPr>
              <w:pStyle w:val="16"/>
              <w:spacing w:line="600" w:lineRule="exact"/>
              <w:rPr>
                <w:rFonts w:hint="eastAsia"/>
                <w:color w:val="000000"/>
                <w:kern w:val="2"/>
                <w:szCs w:val="24"/>
                <w:highlight w:val="none"/>
              </w:rPr>
            </w:pPr>
          </w:p>
        </w:tc>
        <w:tc>
          <w:tcPr>
            <w:tcW w:w="1802" w:type="dxa"/>
            <w:noWrap w:val="0"/>
            <w:vAlign w:val="top"/>
          </w:tcPr>
          <w:p w14:paraId="3CEDE25E">
            <w:pPr>
              <w:pStyle w:val="16"/>
              <w:spacing w:line="600" w:lineRule="exact"/>
              <w:rPr>
                <w:rFonts w:hint="eastAsia"/>
                <w:color w:val="000000"/>
                <w:kern w:val="2"/>
                <w:szCs w:val="24"/>
                <w:highlight w:val="none"/>
              </w:rPr>
            </w:pPr>
          </w:p>
        </w:tc>
        <w:tc>
          <w:tcPr>
            <w:tcW w:w="1597" w:type="dxa"/>
            <w:noWrap w:val="0"/>
            <w:vAlign w:val="top"/>
          </w:tcPr>
          <w:p w14:paraId="324D3A1B">
            <w:pPr>
              <w:pStyle w:val="16"/>
              <w:spacing w:line="600" w:lineRule="exact"/>
              <w:rPr>
                <w:rFonts w:hint="eastAsia"/>
                <w:color w:val="000000"/>
                <w:kern w:val="2"/>
                <w:szCs w:val="24"/>
                <w:highlight w:val="none"/>
              </w:rPr>
            </w:pPr>
          </w:p>
        </w:tc>
        <w:tc>
          <w:tcPr>
            <w:tcW w:w="1597" w:type="dxa"/>
            <w:noWrap w:val="0"/>
            <w:vAlign w:val="top"/>
          </w:tcPr>
          <w:p w14:paraId="50FC3132">
            <w:pPr>
              <w:pStyle w:val="16"/>
              <w:spacing w:line="600" w:lineRule="exact"/>
              <w:rPr>
                <w:rFonts w:hint="eastAsia"/>
                <w:color w:val="000000"/>
                <w:kern w:val="2"/>
                <w:szCs w:val="24"/>
                <w:highlight w:val="none"/>
              </w:rPr>
            </w:pPr>
          </w:p>
        </w:tc>
        <w:tc>
          <w:tcPr>
            <w:tcW w:w="1597" w:type="dxa"/>
            <w:noWrap w:val="0"/>
            <w:vAlign w:val="top"/>
          </w:tcPr>
          <w:p w14:paraId="1DF96B99">
            <w:pPr>
              <w:pStyle w:val="16"/>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6"/>
              <w:spacing w:line="600" w:lineRule="exact"/>
              <w:rPr>
                <w:rFonts w:hint="eastAsia"/>
                <w:color w:val="000000"/>
                <w:kern w:val="2"/>
                <w:szCs w:val="24"/>
                <w:highlight w:val="none"/>
              </w:rPr>
            </w:pPr>
          </w:p>
        </w:tc>
        <w:tc>
          <w:tcPr>
            <w:tcW w:w="1771" w:type="dxa"/>
            <w:noWrap w:val="0"/>
            <w:vAlign w:val="top"/>
          </w:tcPr>
          <w:p w14:paraId="7953A931">
            <w:pPr>
              <w:pStyle w:val="16"/>
              <w:spacing w:line="600" w:lineRule="exact"/>
              <w:rPr>
                <w:rFonts w:hint="eastAsia"/>
                <w:color w:val="000000"/>
                <w:kern w:val="2"/>
                <w:szCs w:val="24"/>
                <w:highlight w:val="none"/>
              </w:rPr>
            </w:pPr>
          </w:p>
        </w:tc>
        <w:tc>
          <w:tcPr>
            <w:tcW w:w="1802" w:type="dxa"/>
            <w:noWrap w:val="0"/>
            <w:vAlign w:val="top"/>
          </w:tcPr>
          <w:p w14:paraId="21B5BECF">
            <w:pPr>
              <w:pStyle w:val="16"/>
              <w:spacing w:line="600" w:lineRule="exact"/>
              <w:rPr>
                <w:rFonts w:hint="eastAsia"/>
                <w:color w:val="000000"/>
                <w:kern w:val="2"/>
                <w:szCs w:val="24"/>
                <w:highlight w:val="none"/>
              </w:rPr>
            </w:pPr>
          </w:p>
        </w:tc>
        <w:tc>
          <w:tcPr>
            <w:tcW w:w="1597" w:type="dxa"/>
            <w:noWrap w:val="0"/>
            <w:vAlign w:val="top"/>
          </w:tcPr>
          <w:p w14:paraId="375B1BFD">
            <w:pPr>
              <w:pStyle w:val="16"/>
              <w:spacing w:line="600" w:lineRule="exact"/>
              <w:rPr>
                <w:rFonts w:hint="eastAsia"/>
                <w:color w:val="000000"/>
                <w:kern w:val="2"/>
                <w:szCs w:val="24"/>
                <w:highlight w:val="none"/>
              </w:rPr>
            </w:pPr>
          </w:p>
        </w:tc>
        <w:tc>
          <w:tcPr>
            <w:tcW w:w="1597" w:type="dxa"/>
            <w:noWrap w:val="0"/>
            <w:vAlign w:val="top"/>
          </w:tcPr>
          <w:p w14:paraId="24ED7467">
            <w:pPr>
              <w:pStyle w:val="16"/>
              <w:spacing w:line="600" w:lineRule="exact"/>
              <w:rPr>
                <w:rFonts w:hint="eastAsia"/>
                <w:color w:val="000000"/>
                <w:kern w:val="2"/>
                <w:szCs w:val="24"/>
                <w:highlight w:val="none"/>
              </w:rPr>
            </w:pPr>
          </w:p>
        </w:tc>
        <w:tc>
          <w:tcPr>
            <w:tcW w:w="1597" w:type="dxa"/>
            <w:noWrap w:val="0"/>
            <w:vAlign w:val="top"/>
          </w:tcPr>
          <w:p w14:paraId="53F43D3C">
            <w:pPr>
              <w:pStyle w:val="16"/>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6"/>
              <w:spacing w:line="600" w:lineRule="exact"/>
              <w:rPr>
                <w:rFonts w:hint="eastAsia"/>
                <w:color w:val="000000"/>
                <w:kern w:val="2"/>
                <w:szCs w:val="24"/>
                <w:highlight w:val="none"/>
              </w:rPr>
            </w:pPr>
          </w:p>
        </w:tc>
        <w:tc>
          <w:tcPr>
            <w:tcW w:w="1771" w:type="dxa"/>
            <w:noWrap w:val="0"/>
            <w:vAlign w:val="top"/>
          </w:tcPr>
          <w:p w14:paraId="0A79B471">
            <w:pPr>
              <w:pStyle w:val="16"/>
              <w:spacing w:line="600" w:lineRule="exact"/>
              <w:rPr>
                <w:rFonts w:hint="eastAsia"/>
                <w:color w:val="000000"/>
                <w:kern w:val="2"/>
                <w:szCs w:val="24"/>
                <w:highlight w:val="none"/>
              </w:rPr>
            </w:pPr>
          </w:p>
        </w:tc>
        <w:tc>
          <w:tcPr>
            <w:tcW w:w="1802" w:type="dxa"/>
            <w:noWrap w:val="0"/>
            <w:vAlign w:val="top"/>
          </w:tcPr>
          <w:p w14:paraId="7CB8CC76">
            <w:pPr>
              <w:pStyle w:val="16"/>
              <w:spacing w:line="600" w:lineRule="exact"/>
              <w:rPr>
                <w:rFonts w:hint="eastAsia"/>
                <w:color w:val="000000"/>
                <w:kern w:val="2"/>
                <w:szCs w:val="24"/>
                <w:highlight w:val="none"/>
              </w:rPr>
            </w:pPr>
          </w:p>
        </w:tc>
        <w:tc>
          <w:tcPr>
            <w:tcW w:w="1597" w:type="dxa"/>
            <w:noWrap w:val="0"/>
            <w:vAlign w:val="top"/>
          </w:tcPr>
          <w:p w14:paraId="723CE512">
            <w:pPr>
              <w:pStyle w:val="16"/>
              <w:spacing w:line="600" w:lineRule="exact"/>
              <w:rPr>
                <w:rFonts w:hint="eastAsia"/>
                <w:color w:val="000000"/>
                <w:kern w:val="2"/>
                <w:szCs w:val="24"/>
                <w:highlight w:val="none"/>
              </w:rPr>
            </w:pPr>
          </w:p>
        </w:tc>
        <w:tc>
          <w:tcPr>
            <w:tcW w:w="1597" w:type="dxa"/>
            <w:noWrap w:val="0"/>
            <w:vAlign w:val="top"/>
          </w:tcPr>
          <w:p w14:paraId="58EB5160">
            <w:pPr>
              <w:pStyle w:val="16"/>
              <w:spacing w:line="600" w:lineRule="exact"/>
              <w:rPr>
                <w:rFonts w:hint="eastAsia"/>
                <w:color w:val="000000"/>
                <w:kern w:val="2"/>
                <w:szCs w:val="24"/>
                <w:highlight w:val="none"/>
              </w:rPr>
            </w:pPr>
          </w:p>
        </w:tc>
        <w:tc>
          <w:tcPr>
            <w:tcW w:w="1597" w:type="dxa"/>
            <w:noWrap w:val="0"/>
            <w:vAlign w:val="top"/>
          </w:tcPr>
          <w:p w14:paraId="61DDFB0C">
            <w:pPr>
              <w:pStyle w:val="16"/>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6"/>
              <w:spacing w:line="600" w:lineRule="exact"/>
              <w:rPr>
                <w:rFonts w:hint="eastAsia"/>
                <w:color w:val="000000"/>
                <w:kern w:val="2"/>
                <w:szCs w:val="24"/>
                <w:highlight w:val="none"/>
              </w:rPr>
            </w:pPr>
          </w:p>
        </w:tc>
        <w:tc>
          <w:tcPr>
            <w:tcW w:w="1771" w:type="dxa"/>
            <w:noWrap w:val="0"/>
            <w:vAlign w:val="top"/>
          </w:tcPr>
          <w:p w14:paraId="0CDB5ADE">
            <w:pPr>
              <w:pStyle w:val="16"/>
              <w:spacing w:line="600" w:lineRule="exact"/>
              <w:rPr>
                <w:rFonts w:hint="eastAsia"/>
                <w:color w:val="000000"/>
                <w:kern w:val="2"/>
                <w:szCs w:val="24"/>
                <w:highlight w:val="none"/>
              </w:rPr>
            </w:pPr>
          </w:p>
        </w:tc>
        <w:tc>
          <w:tcPr>
            <w:tcW w:w="1802" w:type="dxa"/>
            <w:noWrap w:val="0"/>
            <w:vAlign w:val="top"/>
          </w:tcPr>
          <w:p w14:paraId="0F395F54">
            <w:pPr>
              <w:pStyle w:val="16"/>
              <w:spacing w:line="600" w:lineRule="exact"/>
              <w:rPr>
                <w:rFonts w:hint="eastAsia"/>
                <w:color w:val="000000"/>
                <w:kern w:val="2"/>
                <w:szCs w:val="24"/>
                <w:highlight w:val="none"/>
              </w:rPr>
            </w:pPr>
          </w:p>
        </w:tc>
        <w:tc>
          <w:tcPr>
            <w:tcW w:w="1597" w:type="dxa"/>
            <w:noWrap w:val="0"/>
            <w:vAlign w:val="top"/>
          </w:tcPr>
          <w:p w14:paraId="5E56A0FD">
            <w:pPr>
              <w:pStyle w:val="16"/>
              <w:spacing w:line="600" w:lineRule="exact"/>
              <w:rPr>
                <w:rFonts w:hint="eastAsia"/>
                <w:color w:val="000000"/>
                <w:kern w:val="2"/>
                <w:szCs w:val="24"/>
                <w:highlight w:val="none"/>
              </w:rPr>
            </w:pPr>
          </w:p>
        </w:tc>
        <w:tc>
          <w:tcPr>
            <w:tcW w:w="1597" w:type="dxa"/>
            <w:noWrap w:val="0"/>
            <w:vAlign w:val="top"/>
          </w:tcPr>
          <w:p w14:paraId="1DE978E4">
            <w:pPr>
              <w:pStyle w:val="16"/>
              <w:spacing w:line="600" w:lineRule="exact"/>
              <w:rPr>
                <w:rFonts w:hint="eastAsia"/>
                <w:color w:val="000000"/>
                <w:kern w:val="2"/>
                <w:szCs w:val="24"/>
                <w:highlight w:val="none"/>
              </w:rPr>
            </w:pPr>
          </w:p>
        </w:tc>
        <w:tc>
          <w:tcPr>
            <w:tcW w:w="1597" w:type="dxa"/>
            <w:noWrap w:val="0"/>
            <w:vAlign w:val="top"/>
          </w:tcPr>
          <w:p w14:paraId="243F63A7">
            <w:pPr>
              <w:pStyle w:val="16"/>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6"/>
              <w:spacing w:line="600" w:lineRule="exact"/>
              <w:rPr>
                <w:rFonts w:hint="eastAsia"/>
                <w:color w:val="000000"/>
                <w:kern w:val="2"/>
                <w:szCs w:val="24"/>
                <w:highlight w:val="none"/>
              </w:rPr>
            </w:pPr>
          </w:p>
        </w:tc>
        <w:tc>
          <w:tcPr>
            <w:tcW w:w="1771" w:type="dxa"/>
            <w:noWrap w:val="0"/>
            <w:vAlign w:val="top"/>
          </w:tcPr>
          <w:p w14:paraId="7D622053">
            <w:pPr>
              <w:pStyle w:val="16"/>
              <w:spacing w:line="600" w:lineRule="exact"/>
              <w:rPr>
                <w:rFonts w:hint="eastAsia"/>
                <w:color w:val="000000"/>
                <w:kern w:val="2"/>
                <w:szCs w:val="24"/>
                <w:highlight w:val="none"/>
              </w:rPr>
            </w:pPr>
          </w:p>
        </w:tc>
        <w:tc>
          <w:tcPr>
            <w:tcW w:w="1802" w:type="dxa"/>
            <w:noWrap w:val="0"/>
            <w:vAlign w:val="top"/>
          </w:tcPr>
          <w:p w14:paraId="5E79A2B5">
            <w:pPr>
              <w:pStyle w:val="16"/>
              <w:spacing w:line="600" w:lineRule="exact"/>
              <w:rPr>
                <w:rFonts w:hint="eastAsia"/>
                <w:color w:val="000000"/>
                <w:kern w:val="2"/>
                <w:szCs w:val="24"/>
                <w:highlight w:val="none"/>
              </w:rPr>
            </w:pPr>
          </w:p>
        </w:tc>
        <w:tc>
          <w:tcPr>
            <w:tcW w:w="1597" w:type="dxa"/>
            <w:noWrap w:val="0"/>
            <w:vAlign w:val="top"/>
          </w:tcPr>
          <w:p w14:paraId="6ED52839">
            <w:pPr>
              <w:pStyle w:val="16"/>
              <w:spacing w:line="600" w:lineRule="exact"/>
              <w:rPr>
                <w:rFonts w:hint="eastAsia"/>
                <w:color w:val="000000"/>
                <w:kern w:val="2"/>
                <w:szCs w:val="24"/>
                <w:highlight w:val="none"/>
              </w:rPr>
            </w:pPr>
          </w:p>
        </w:tc>
        <w:tc>
          <w:tcPr>
            <w:tcW w:w="1597" w:type="dxa"/>
            <w:noWrap w:val="0"/>
            <w:vAlign w:val="top"/>
          </w:tcPr>
          <w:p w14:paraId="317068A0">
            <w:pPr>
              <w:pStyle w:val="16"/>
              <w:spacing w:line="600" w:lineRule="exact"/>
              <w:rPr>
                <w:rFonts w:hint="eastAsia"/>
                <w:color w:val="000000"/>
                <w:kern w:val="2"/>
                <w:szCs w:val="24"/>
                <w:highlight w:val="none"/>
              </w:rPr>
            </w:pPr>
          </w:p>
        </w:tc>
        <w:tc>
          <w:tcPr>
            <w:tcW w:w="1597" w:type="dxa"/>
            <w:noWrap w:val="0"/>
            <w:vAlign w:val="top"/>
          </w:tcPr>
          <w:p w14:paraId="5728566C">
            <w:pPr>
              <w:pStyle w:val="16"/>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6"/>
              <w:spacing w:line="600" w:lineRule="exact"/>
              <w:rPr>
                <w:rFonts w:hint="eastAsia"/>
                <w:color w:val="000000"/>
                <w:kern w:val="2"/>
                <w:szCs w:val="24"/>
                <w:highlight w:val="none"/>
              </w:rPr>
            </w:pPr>
          </w:p>
        </w:tc>
        <w:tc>
          <w:tcPr>
            <w:tcW w:w="1771" w:type="dxa"/>
            <w:noWrap w:val="0"/>
            <w:vAlign w:val="top"/>
          </w:tcPr>
          <w:p w14:paraId="2F616B57">
            <w:pPr>
              <w:pStyle w:val="16"/>
              <w:spacing w:line="600" w:lineRule="exact"/>
              <w:rPr>
                <w:rFonts w:hint="eastAsia"/>
                <w:color w:val="000000"/>
                <w:kern w:val="2"/>
                <w:szCs w:val="24"/>
                <w:highlight w:val="none"/>
              </w:rPr>
            </w:pPr>
          </w:p>
        </w:tc>
        <w:tc>
          <w:tcPr>
            <w:tcW w:w="1802" w:type="dxa"/>
            <w:noWrap w:val="0"/>
            <w:vAlign w:val="top"/>
          </w:tcPr>
          <w:p w14:paraId="1CB398AF">
            <w:pPr>
              <w:pStyle w:val="16"/>
              <w:spacing w:line="600" w:lineRule="exact"/>
              <w:rPr>
                <w:rFonts w:hint="eastAsia"/>
                <w:color w:val="000000"/>
                <w:kern w:val="2"/>
                <w:szCs w:val="24"/>
                <w:highlight w:val="none"/>
              </w:rPr>
            </w:pPr>
          </w:p>
        </w:tc>
        <w:tc>
          <w:tcPr>
            <w:tcW w:w="1597" w:type="dxa"/>
            <w:noWrap w:val="0"/>
            <w:vAlign w:val="top"/>
          </w:tcPr>
          <w:p w14:paraId="558AB703">
            <w:pPr>
              <w:pStyle w:val="16"/>
              <w:spacing w:line="600" w:lineRule="exact"/>
              <w:rPr>
                <w:rFonts w:hint="eastAsia"/>
                <w:color w:val="000000"/>
                <w:kern w:val="2"/>
                <w:szCs w:val="24"/>
                <w:highlight w:val="none"/>
              </w:rPr>
            </w:pPr>
          </w:p>
        </w:tc>
        <w:tc>
          <w:tcPr>
            <w:tcW w:w="1597" w:type="dxa"/>
            <w:noWrap w:val="0"/>
            <w:vAlign w:val="top"/>
          </w:tcPr>
          <w:p w14:paraId="1DDC73DD">
            <w:pPr>
              <w:pStyle w:val="16"/>
              <w:spacing w:line="600" w:lineRule="exact"/>
              <w:rPr>
                <w:rFonts w:hint="eastAsia"/>
                <w:color w:val="000000"/>
                <w:kern w:val="2"/>
                <w:szCs w:val="24"/>
                <w:highlight w:val="none"/>
              </w:rPr>
            </w:pPr>
          </w:p>
        </w:tc>
        <w:tc>
          <w:tcPr>
            <w:tcW w:w="1597" w:type="dxa"/>
            <w:noWrap w:val="0"/>
            <w:vAlign w:val="top"/>
          </w:tcPr>
          <w:p w14:paraId="502AC625">
            <w:pPr>
              <w:pStyle w:val="16"/>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10"/>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1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1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10"/>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10"/>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注：请参选人认真填写银行信息，并要求与银行转账凭证的相关信息一致辞，招标代理机构将依据此凭证信息退还参选保证金。</w:t>
      </w:r>
    </w:p>
    <w:p w14:paraId="34273518">
      <w:pPr>
        <w:pStyle w:val="16"/>
        <w:jc w:val="right"/>
        <w:rPr>
          <w:rFonts w:hint="eastAsia" w:hAnsi="宋体" w:cs="宋体"/>
          <w:sz w:val="24"/>
          <w:highlight w:val="none"/>
        </w:rPr>
      </w:pPr>
    </w:p>
    <w:p w14:paraId="739A65E4">
      <w:pPr>
        <w:pStyle w:val="16"/>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6"/>
        <w:jc w:val="right"/>
        <w:rPr>
          <w:rFonts w:hint="eastAsia" w:hAnsi="宋体" w:cs="宋体"/>
          <w:sz w:val="24"/>
          <w:highlight w:val="none"/>
        </w:rPr>
      </w:pPr>
      <w:r>
        <w:rPr>
          <w:rFonts w:hint="eastAsia" w:hAnsi="宋体" w:cs="宋体"/>
          <w:sz w:val="24"/>
          <w:highlight w:val="none"/>
        </w:rPr>
        <w:t xml:space="preserve">           </w:t>
      </w:r>
    </w:p>
    <w:p w14:paraId="06778BB7">
      <w:pPr>
        <w:pStyle w:val="16"/>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6"/>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6"/>
        <w:pageBreakBefore w:val="0"/>
        <w:kinsoku/>
        <w:overflowPunct/>
        <w:topLinePunct w:val="0"/>
        <w:bidi w:val="0"/>
        <w:jc w:val="center"/>
        <w:rPr>
          <w:rFonts w:hint="eastAsia" w:ascii="宋体" w:hAnsi="宋体" w:eastAsia="宋体" w:cs="宋体"/>
          <w:color w:val="auto"/>
          <w:sz w:val="24"/>
          <w:highlight w:val="none"/>
        </w:rPr>
      </w:pPr>
    </w:p>
    <w:p w14:paraId="4AC065A2">
      <w:pPr>
        <w:pStyle w:val="16"/>
        <w:pageBreakBefore w:val="0"/>
        <w:kinsoku/>
        <w:overflowPunct/>
        <w:topLinePunct w:val="0"/>
        <w:bidi w:val="0"/>
        <w:jc w:val="center"/>
        <w:rPr>
          <w:rFonts w:hint="eastAsia" w:ascii="宋体" w:hAnsi="宋体" w:eastAsia="宋体" w:cs="宋体"/>
          <w:color w:val="auto"/>
          <w:sz w:val="24"/>
          <w:highlight w:val="none"/>
        </w:rPr>
      </w:pPr>
    </w:p>
    <w:p w14:paraId="77BBF060">
      <w:pPr>
        <w:pStyle w:val="16"/>
        <w:pageBreakBefore w:val="0"/>
        <w:kinsoku/>
        <w:overflowPunct/>
        <w:topLinePunct w:val="0"/>
        <w:bidi w:val="0"/>
        <w:jc w:val="center"/>
        <w:rPr>
          <w:rFonts w:hint="eastAsia" w:ascii="宋体" w:hAnsi="宋体" w:eastAsia="宋体" w:cs="宋体"/>
          <w:color w:val="auto"/>
          <w:sz w:val="24"/>
          <w:highlight w:val="none"/>
        </w:rPr>
      </w:pPr>
    </w:p>
    <w:p w14:paraId="041CB88A">
      <w:pPr>
        <w:pStyle w:val="16"/>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6"/>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9"/>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2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5D1DCF"/>
    <w:rsid w:val="0A685934"/>
    <w:rsid w:val="0AA75373"/>
    <w:rsid w:val="0AF73FD4"/>
    <w:rsid w:val="0B05031C"/>
    <w:rsid w:val="0B424B21"/>
    <w:rsid w:val="0B560A80"/>
    <w:rsid w:val="0BDE4F88"/>
    <w:rsid w:val="0BF2247E"/>
    <w:rsid w:val="0C3D67FB"/>
    <w:rsid w:val="0C762CD4"/>
    <w:rsid w:val="0C86753C"/>
    <w:rsid w:val="0C8E2713"/>
    <w:rsid w:val="0CB96085"/>
    <w:rsid w:val="0CCC0884"/>
    <w:rsid w:val="0CFA7D02"/>
    <w:rsid w:val="0D073DD1"/>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8F7BB1"/>
    <w:rsid w:val="1BCC0565"/>
    <w:rsid w:val="1BCE006D"/>
    <w:rsid w:val="1C2D6F1E"/>
    <w:rsid w:val="1D0B4383"/>
    <w:rsid w:val="1D5A13F5"/>
    <w:rsid w:val="1D820805"/>
    <w:rsid w:val="1D9C7CD3"/>
    <w:rsid w:val="1DD90149"/>
    <w:rsid w:val="1E522E75"/>
    <w:rsid w:val="1E546BED"/>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6BA640F"/>
    <w:rsid w:val="26DD4939"/>
    <w:rsid w:val="275A6E86"/>
    <w:rsid w:val="277B343D"/>
    <w:rsid w:val="278C564A"/>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140BAF"/>
    <w:rsid w:val="2C387018"/>
    <w:rsid w:val="2C444745"/>
    <w:rsid w:val="2C9D6CDB"/>
    <w:rsid w:val="2CC71DF2"/>
    <w:rsid w:val="2CF77EA3"/>
    <w:rsid w:val="2D1D71A5"/>
    <w:rsid w:val="2D4805D8"/>
    <w:rsid w:val="2D4C1195"/>
    <w:rsid w:val="2D866137"/>
    <w:rsid w:val="2DE23F54"/>
    <w:rsid w:val="2DE75388"/>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A1669C2"/>
    <w:rsid w:val="3A34785C"/>
    <w:rsid w:val="3A4418D3"/>
    <w:rsid w:val="3A8C1EEB"/>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C103A5"/>
    <w:rsid w:val="59FF6B39"/>
    <w:rsid w:val="5A660D4E"/>
    <w:rsid w:val="5A817B0D"/>
    <w:rsid w:val="5A8262B5"/>
    <w:rsid w:val="5AA24261"/>
    <w:rsid w:val="5AAB323C"/>
    <w:rsid w:val="5AE623A0"/>
    <w:rsid w:val="5B3809A4"/>
    <w:rsid w:val="5B445318"/>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annotation text"/>
    <w:basedOn w:val="1"/>
    <w:qFormat/>
    <w:uiPriority w:val="99"/>
    <w:pPr>
      <w:jc w:val="left"/>
    </w:pPr>
    <w:rPr>
      <w:kern w:val="0"/>
    </w:rPr>
  </w:style>
  <w:style w:type="paragraph" w:styleId="10">
    <w:name w:val="Body Text"/>
    <w:basedOn w:val="1"/>
    <w:next w:val="11"/>
    <w:qFormat/>
    <w:uiPriority w:val="99"/>
    <w:pPr>
      <w:spacing w:after="120"/>
    </w:pPr>
    <w:rPr>
      <w:kern w:val="0"/>
    </w:rPr>
  </w:style>
  <w:style w:type="paragraph" w:styleId="1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2">
    <w:name w:val="Body Text Indent"/>
    <w:basedOn w:val="1"/>
    <w:next w:val="13"/>
    <w:qFormat/>
    <w:uiPriority w:val="0"/>
    <w:rPr>
      <w:kern w:val="0"/>
      <w:sz w:val="24"/>
    </w:rPr>
  </w:style>
  <w:style w:type="paragraph" w:styleId="13">
    <w:name w:val="envelope return"/>
    <w:basedOn w:val="1"/>
    <w:next w:val="7"/>
    <w:qFormat/>
    <w:uiPriority w:val="99"/>
    <w:pPr>
      <w:widowControl/>
    </w:pPr>
    <w:rPr>
      <w:rFonts w:ascii="Times New Roman" w:hAnsi="Times New Roman"/>
      <w:kern w:val="0"/>
      <w:sz w:val="22"/>
      <w:szCs w:val="20"/>
      <w:lang w:val="en-GB" w:eastAsia="en-US"/>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next w:val="1"/>
    <w:qFormat/>
    <w:uiPriority w:val="0"/>
    <w:rPr>
      <w:rFonts w:ascii="宋体" w:hAnsi="Courier New"/>
      <w:kern w:val="0"/>
      <w:sz w:val="20"/>
    </w:rPr>
  </w:style>
  <w:style w:type="paragraph" w:styleId="17">
    <w:name w:val="Body Text Indent 2"/>
    <w:basedOn w:val="1"/>
    <w:link w:val="44"/>
    <w:qFormat/>
    <w:uiPriority w:val="0"/>
    <w:pPr>
      <w:spacing w:after="120" w:line="480" w:lineRule="auto"/>
      <w:ind w:left="420" w:leftChars="200"/>
    </w:pPr>
  </w:style>
  <w:style w:type="paragraph" w:styleId="18">
    <w:name w:val="Balloon Text"/>
    <w:basedOn w:val="1"/>
    <w:link w:val="45"/>
    <w:qFormat/>
    <w:uiPriority w:val="0"/>
    <w:rPr>
      <w:sz w:val="18"/>
      <w:szCs w:val="18"/>
    </w:rPr>
  </w:style>
  <w:style w:type="paragraph" w:styleId="19">
    <w:name w:val="footer"/>
    <w:basedOn w:val="1"/>
    <w:link w:val="46"/>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10"/>
    <w:next w:val="1"/>
    <w:qFormat/>
    <w:uiPriority w:val="99"/>
    <w:pPr>
      <w:ind w:firstLine="420"/>
    </w:pPr>
    <w:rPr>
      <w:szCs w:val="28"/>
    </w:rPr>
  </w:style>
  <w:style w:type="paragraph" w:styleId="26">
    <w:name w:val="Body Text First Indent 2"/>
    <w:basedOn w:val="12"/>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7"/>
    <w:qFormat/>
    <w:uiPriority w:val="0"/>
    <w:rPr>
      <w:kern w:val="2"/>
      <w:sz w:val="21"/>
      <w:szCs w:val="24"/>
    </w:rPr>
  </w:style>
  <w:style w:type="character" w:customStyle="1" w:styleId="45">
    <w:name w:val="批注框文本 Char"/>
    <w:basedOn w:val="29"/>
    <w:link w:val="18"/>
    <w:qFormat/>
    <w:uiPriority w:val="0"/>
    <w:rPr>
      <w:kern w:val="2"/>
      <w:sz w:val="18"/>
      <w:szCs w:val="18"/>
    </w:rPr>
  </w:style>
  <w:style w:type="character" w:customStyle="1" w:styleId="46">
    <w:name w:val="页脚 Char"/>
    <w:basedOn w:val="29"/>
    <w:link w:val="19"/>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40</Pages>
  <Words>12602</Words>
  <Characters>13799</Characters>
  <Lines>190</Lines>
  <Paragraphs>53</Paragraphs>
  <TotalTime>125</TotalTime>
  <ScaleCrop>false</ScaleCrop>
  <LinksUpToDate>false</LinksUpToDate>
  <CharactersWithSpaces>16024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2025-05-15T06:54:00Z</cp:lastPrinted>
  <dcterms:modified xsi:type="dcterms:W3CDTF">2025-10-11T04:39:58Z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