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bookmarkStart w:id="64" w:name="_GoBack"/>
      <w:r>
        <w:rPr>
          <w:rFonts w:hint="eastAsia" w:ascii="宋体" w:hAnsi="宋体" w:cs="宋体"/>
          <w:color w:val="auto"/>
          <w:sz w:val="30"/>
          <w:szCs w:val="30"/>
          <w:highlight w:val="none"/>
          <w:lang w:eastAsia="zh-CN"/>
        </w:rPr>
        <w:t>南昌市红谷滩区还建房维修改造项目(二工区)-劳务作业</w:t>
      </w:r>
      <w:bookmarkEnd w:id="64"/>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ZSGC2025CG015</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十</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_Toc8453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4E0EA09">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_Toc30601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bookmarkStart w:id="1" w:name="_Toc23620"/>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南昌市红谷滩区还建房维修改造项目(二工区)-劳务作业</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ZSGC2025CG015</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ZSGC2025CG015</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南昌市红谷滩区还建房维修改造项目(二工区)-劳务作业</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817784.57</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67ED5ED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7F50343C">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3.施工劳务企业备案；</w:t>
      </w:r>
    </w:p>
    <w:p w14:paraId="18101F4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4.外埠来赣单位应在江西省“住建云信息登记系统”上办理好有效的企业信息登记；</w:t>
      </w:r>
    </w:p>
    <w:p w14:paraId="54FB6652">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5.提供法定代表人授权委托书（或法定代表人证明资料）原件及被授权人（或法定代表人）身份证复印件；提供委托代理人在该单位标前三个月内任意一个月的社保凭证；</w:t>
      </w:r>
    </w:p>
    <w:p w14:paraId="44B0980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6.本项目不接受联合体参选；</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21</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14:30</w:t>
      </w:r>
      <w:r>
        <w:rPr>
          <w:rFonts w:hint="eastAsia" w:ascii="宋体" w:hAnsi="宋体" w:eastAsia="宋体" w:cs="宋体"/>
          <w:color w:val="auto"/>
          <w:kern w:val="0"/>
          <w:sz w:val="24"/>
          <w:highlight w:val="none"/>
        </w:rPr>
        <w:t>（北京时间）。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江西中善工程管理有限公司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13935"/>
      <w:bookmarkStart w:id="3" w:name="_Toc5969"/>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南昌市红谷滩区还建房维修改造项目(二工区)-劳务作业</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ZSGC2025CG015</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捌仟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ZSGC2025CG015</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人民币肆仟零柒元（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4007元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31761"/>
      <w:bookmarkStart w:id="6" w:name="_Toc377982317"/>
      <w:bookmarkStart w:id="7" w:name="_Toc147282124"/>
      <w:bookmarkStart w:id="8" w:name="_Toc324678925"/>
      <w:bookmarkStart w:id="9" w:name="_Toc17175"/>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江西中善工程管理有限公司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817784.57</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15373"/>
      <w:bookmarkStart w:id="38" w:name="_Toc29209"/>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w:t>
      </w:r>
      <w:r>
        <w:rPr>
          <w:rFonts w:hint="eastAsia" w:ascii="宋体" w:hAnsi="宋体" w:cs="宋体"/>
          <w:color w:val="auto"/>
          <w:kern w:val="2"/>
          <w:sz w:val="24"/>
          <w:szCs w:val="24"/>
          <w:highlight w:val="none"/>
          <w:lang w:val="en-US" w:eastAsia="zh-CN" w:bidi="ar-SA"/>
        </w:rPr>
        <w:t>辅材</w:t>
      </w:r>
      <w:r>
        <w:rPr>
          <w:rFonts w:hint="eastAsia" w:ascii="宋体" w:hAnsi="宋体" w:eastAsia="宋体" w:cs="宋体"/>
          <w:color w:val="auto"/>
          <w:kern w:val="2"/>
          <w:sz w:val="24"/>
          <w:szCs w:val="24"/>
          <w:highlight w:val="none"/>
          <w:lang w:val="en-US" w:eastAsia="zh-CN" w:bidi="ar-SA"/>
        </w:rPr>
        <w:t>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bookmarkStart w:id="41" w:name="_Toc8453"/>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30601"/>
      <w:bookmarkStart w:id="44"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77982361"/>
      <w:bookmarkStart w:id="46" w:name="_Toc324678969"/>
      <w:bookmarkStart w:id="47" w:name="_Toc178705054"/>
      <w:bookmarkStart w:id="48" w:name="_Toc182285110"/>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324678971"/>
      <w:bookmarkStart w:id="53" w:name="_Toc403422543"/>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342"/>
      <w:bookmarkStart w:id="63" w:name="_Toc99713455"/>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03CAE162">
      <w:pPr>
        <w:pStyle w:val="10"/>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344DE"/>
    <w:rsid w:val="065D35AE"/>
    <w:rsid w:val="066F1ED1"/>
    <w:rsid w:val="06AC1E40"/>
    <w:rsid w:val="06AD5647"/>
    <w:rsid w:val="06BE6425"/>
    <w:rsid w:val="06BF609C"/>
    <w:rsid w:val="07064F2D"/>
    <w:rsid w:val="073A633E"/>
    <w:rsid w:val="076C56D4"/>
    <w:rsid w:val="078A2E29"/>
    <w:rsid w:val="079E317F"/>
    <w:rsid w:val="07C817D3"/>
    <w:rsid w:val="07CA07CF"/>
    <w:rsid w:val="07DC63DC"/>
    <w:rsid w:val="081D3768"/>
    <w:rsid w:val="089E2D0C"/>
    <w:rsid w:val="08D40E04"/>
    <w:rsid w:val="08F14E86"/>
    <w:rsid w:val="08FD2D02"/>
    <w:rsid w:val="092A6F91"/>
    <w:rsid w:val="094840A2"/>
    <w:rsid w:val="09F91840"/>
    <w:rsid w:val="09FF67ED"/>
    <w:rsid w:val="0A685934"/>
    <w:rsid w:val="0A8C4462"/>
    <w:rsid w:val="0AA75373"/>
    <w:rsid w:val="0AC57974"/>
    <w:rsid w:val="0AF73FD4"/>
    <w:rsid w:val="0B05031C"/>
    <w:rsid w:val="0B34739F"/>
    <w:rsid w:val="0B560A80"/>
    <w:rsid w:val="0B683537"/>
    <w:rsid w:val="0B8F26BD"/>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AC1036"/>
    <w:rsid w:val="0EB2020F"/>
    <w:rsid w:val="0EB977F0"/>
    <w:rsid w:val="0ED34CF7"/>
    <w:rsid w:val="0EEC7BA6"/>
    <w:rsid w:val="0EFD4D2D"/>
    <w:rsid w:val="0F0E2B80"/>
    <w:rsid w:val="0F1F6CBB"/>
    <w:rsid w:val="0F6159A2"/>
    <w:rsid w:val="0FE61EC6"/>
    <w:rsid w:val="0FED14FF"/>
    <w:rsid w:val="101F5E42"/>
    <w:rsid w:val="10370789"/>
    <w:rsid w:val="115C3E6F"/>
    <w:rsid w:val="11BA18B5"/>
    <w:rsid w:val="11DA17B3"/>
    <w:rsid w:val="11E00BDC"/>
    <w:rsid w:val="1223332E"/>
    <w:rsid w:val="12354787"/>
    <w:rsid w:val="12463148"/>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6F0C08"/>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6409B4"/>
    <w:rsid w:val="188B2F75"/>
    <w:rsid w:val="188B3FAB"/>
    <w:rsid w:val="188E3A9B"/>
    <w:rsid w:val="1890381F"/>
    <w:rsid w:val="18ED00D4"/>
    <w:rsid w:val="191948E9"/>
    <w:rsid w:val="192835A8"/>
    <w:rsid w:val="19670574"/>
    <w:rsid w:val="1973301A"/>
    <w:rsid w:val="1A3862ED"/>
    <w:rsid w:val="1A8A6543"/>
    <w:rsid w:val="1A9759C4"/>
    <w:rsid w:val="1AA17AB6"/>
    <w:rsid w:val="1AC67B91"/>
    <w:rsid w:val="1AD50D1A"/>
    <w:rsid w:val="1AFD0A64"/>
    <w:rsid w:val="1AFD5285"/>
    <w:rsid w:val="1BB07651"/>
    <w:rsid w:val="1BCC0565"/>
    <w:rsid w:val="1C2D6F1E"/>
    <w:rsid w:val="1C871028"/>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917854"/>
    <w:rsid w:val="2A995D5F"/>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44338"/>
    <w:rsid w:val="2E0D090C"/>
    <w:rsid w:val="2E66398B"/>
    <w:rsid w:val="2E7740E9"/>
    <w:rsid w:val="2E777886"/>
    <w:rsid w:val="2ECF2E25"/>
    <w:rsid w:val="2EF452FB"/>
    <w:rsid w:val="2F0B32F8"/>
    <w:rsid w:val="2F1A4FD5"/>
    <w:rsid w:val="2F8831F1"/>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D5526B"/>
    <w:rsid w:val="32FA0324"/>
    <w:rsid w:val="33861E21"/>
    <w:rsid w:val="338813BB"/>
    <w:rsid w:val="33C7324E"/>
    <w:rsid w:val="33DE547F"/>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695377"/>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69009E"/>
    <w:rsid w:val="3E8E2733"/>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237851"/>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310FE7"/>
    <w:rsid w:val="564577AB"/>
    <w:rsid w:val="56B23ED5"/>
    <w:rsid w:val="56DA58DC"/>
    <w:rsid w:val="56F75715"/>
    <w:rsid w:val="56FA4DB3"/>
    <w:rsid w:val="574E25BD"/>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03573C"/>
    <w:rsid w:val="5A660D4E"/>
    <w:rsid w:val="5A817B0D"/>
    <w:rsid w:val="5A8262B5"/>
    <w:rsid w:val="5AA24261"/>
    <w:rsid w:val="5AAB323C"/>
    <w:rsid w:val="5B3809A4"/>
    <w:rsid w:val="5B4B2B4A"/>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D537AD"/>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6150F73"/>
    <w:rsid w:val="661E4002"/>
    <w:rsid w:val="663B3B08"/>
    <w:rsid w:val="664A412A"/>
    <w:rsid w:val="66692CE9"/>
    <w:rsid w:val="66B477F6"/>
    <w:rsid w:val="66C231EB"/>
    <w:rsid w:val="66D962DF"/>
    <w:rsid w:val="672410C5"/>
    <w:rsid w:val="673B1C5F"/>
    <w:rsid w:val="67A05FCC"/>
    <w:rsid w:val="67BE4817"/>
    <w:rsid w:val="67D45B16"/>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C0F3245"/>
    <w:rsid w:val="6C3E6C02"/>
    <w:rsid w:val="6C5221D1"/>
    <w:rsid w:val="6C601B62"/>
    <w:rsid w:val="6C92548F"/>
    <w:rsid w:val="6C955D99"/>
    <w:rsid w:val="6CAE1BE4"/>
    <w:rsid w:val="6CDB3535"/>
    <w:rsid w:val="6CFC3CA5"/>
    <w:rsid w:val="6D0B038C"/>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F4068"/>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11003</Words>
  <Characters>11877</Characters>
  <Lines>190</Lines>
  <Paragraphs>53</Paragraphs>
  <TotalTime>27</TotalTime>
  <ScaleCrop>false</ScaleCrop>
  <LinksUpToDate>false</LinksUpToDate>
  <CharactersWithSpaces>13461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Double life</cp:lastModifiedBy>
  <cp:lastPrinted>2025-05-15T06:50:00Z</cp:lastPrinted>
  <dcterms:modified xsi:type="dcterms:W3CDTF">2025-10-13T02:14:25Z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826FAF63DFB8438EB27F862537F96F9B_13</vt:lpwstr>
  </property>
  <property fmtid="{D5CDD505-2E9C-101B-9397-08002B2CF9AE}" pid="4" name="KSOTemplateDocerSaveRecord">
    <vt:lpwstr>eyJoZGlkIjoiMTk5N2QwYmFmNzc0YzI4ODVkYjhhNTNhMTRjNGYwODkiLCJ1c2VySWQiOiIzMzA1Njk5ODgifQ==</vt:lpwstr>
  </property>
</Properties>
</file>