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南昌市红谷滩区丰和南大道（前湖大道至岭北二路）道路维修改造工程-沥青材料采购</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ZSGC2025CG024</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color w:val="auto"/>
          <w:sz w:val="30"/>
          <w:szCs w:val="30"/>
          <w:highlight w:val="none"/>
          <w:lang w:eastAsia="zh-CN"/>
        </w:rPr>
        <w:t>江西中善工程管理有限公司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val="en-US"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十</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1"/>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16</w:t>
      </w:r>
    </w:p>
    <w:p w14:paraId="089DE125">
      <w:pPr>
        <w:pStyle w:val="21"/>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2"/>
          <w:szCs w:val="32"/>
          <w:highlight w:val="none"/>
        </w:rPr>
      </w:pPr>
      <w:r>
        <w:rPr>
          <w:rStyle w:val="30"/>
          <w:rFonts w:hint="eastAsia" w:ascii="宋体" w:hAnsi="宋体" w:eastAsia="宋体" w:cs="宋体"/>
          <w:b/>
          <w:color w:val="auto"/>
          <w:sz w:val="32"/>
          <w:szCs w:val="32"/>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江西中善工程管理有限公司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南昌市红谷滩区丰和南大道（前湖大道至岭北二路）道路维修改造工程-沥青材料采购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ZSGC2025CG024</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招标要约价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ZSGC2025CG024</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南昌市红谷滩区丰和南大道（前湖大道至岭北二路）道路维修改造工程-沥青材料采购</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994980.29</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46BD1D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5BAC163">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9DD9D2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EDA341">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E0999E8">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14:paraId="1A599E16">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14:paraId="78CC9F4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r>
        <w:rPr>
          <w:rFonts w:hint="eastAsia" w:ascii="宋体" w:hAnsi="宋体" w:eastAsia="宋体" w:cs="宋体"/>
          <w:color w:val="auto"/>
          <w:sz w:val="24"/>
          <w:szCs w:val="24"/>
          <w:highlight w:val="none"/>
          <w:lang w:eastAsia="zh-CN"/>
        </w:rPr>
        <w:t>；</w:t>
      </w:r>
    </w:p>
    <w:p w14:paraId="47EC677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lang w:eastAsia="zh-CN"/>
        </w:rPr>
        <w:t>，不得参与本项目的比选活动</w:t>
      </w:r>
      <w:r>
        <w:rPr>
          <w:rFonts w:hint="eastAsia" w:ascii="宋体" w:hAnsi="宋体" w:eastAsia="宋体" w:cs="宋体"/>
          <w:color w:val="auto"/>
          <w:sz w:val="24"/>
          <w:szCs w:val="24"/>
          <w:highlight w:val="none"/>
        </w:rPr>
        <w:t>；</w:t>
      </w:r>
    </w:p>
    <w:p w14:paraId="00397DF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14:30</w:t>
      </w:r>
      <w:r>
        <w:rPr>
          <w:rFonts w:hint="eastAsia" w:ascii="宋体" w:hAnsi="宋体" w:eastAsia="宋体" w:cs="宋体"/>
          <w:color w:val="auto"/>
          <w:kern w:val="0"/>
          <w:sz w:val="24"/>
          <w:highlight w:val="none"/>
        </w:rPr>
        <w:t>（北京时间）。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bookmarkStart w:id="58" w:name="_GoBack"/>
      <w:bookmarkEnd w:id="58"/>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10"/>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江西中善工程管理有限公司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江西省南昌市红谷滩区九龙大道1177号绿地国际博览城绿地南昌国宾办公商业楼613</w:t>
      </w:r>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15180180757</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923335422@qq.com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2"/>
          <w:szCs w:val="32"/>
          <w:highlight w:val="none"/>
        </w:rPr>
      </w:pPr>
      <w:bookmarkStart w:id="1" w:name="_Toc5969"/>
      <w:r>
        <w:rPr>
          <w:rFonts w:hint="eastAsia" w:ascii="宋体" w:hAnsi="宋体" w:eastAsia="宋体" w:cs="宋体"/>
          <w:color w:val="auto"/>
          <w:sz w:val="32"/>
          <w:szCs w:val="32"/>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南昌市红谷滩区丰和南大道（前湖大道至岭北二路）道路维修改造工程-沥青材料采购</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ZSGC2025CG024</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江西中善工程管理有限公司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江西省南昌市红谷滩区九龙大道1177号绿地国际博览城绿地南昌国宾办公商业楼613</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魏工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15180180757</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万元整（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江西中善工程管理有限公司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191754021482</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中国银行股份有限公司南昌市会展路支行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ZSGC2025CG024</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923335422@qq.com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人民币陆仟零玖拾肆元（¥6094元）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47282124"/>
      <w:bookmarkStart w:id="3" w:name="_Toc377982317"/>
      <w:bookmarkStart w:id="4" w:name="_Toc324678925"/>
      <w:bookmarkStart w:id="5" w:name="_Toc31761"/>
      <w:bookmarkStart w:id="6" w:name="_Toc17175"/>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江西中善工程管理有限公司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890AAB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招标要约价</w:t>
      </w:r>
      <w:r>
        <w:rPr>
          <w:rFonts w:hint="eastAsia" w:hAnsi="宋体" w:cs="宋体"/>
          <w:bCs/>
          <w:color w:val="auto"/>
          <w:kern w:val="2"/>
          <w:sz w:val="24"/>
          <w:szCs w:val="24"/>
          <w:highlight w:val="none"/>
          <w:u w:val="single"/>
          <w:lang w:val="en-US" w:eastAsia="zh-CN"/>
        </w:rPr>
        <w:t xml:space="preserve">994980.29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，参选人参选报价必须响应招标要约价中的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江西中善工程管理有限公司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15180180757</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r>
              <w:rPr>
                <w:rFonts w:hint="eastAsia" w:ascii="宋体" w:hAnsi="宋体" w:cs="宋体"/>
                <w:bCs/>
                <w:color w:val="auto"/>
                <w:sz w:val="24"/>
                <w:szCs w:val="24"/>
                <w:highlight w:val="none"/>
                <w:lang w:eastAsia="zh-CN"/>
              </w:rPr>
              <w:t>是否响应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招标要约价中的单价与总价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shd w:val="clear"/>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shd w:val="clear"/>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文件的实质性要求，作无效标处理。</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52C9D25D">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14:paraId="34437E51">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w:t>
            </w:r>
            <w:r>
              <w:rPr>
                <w:rFonts w:hint="eastAsia" w:ascii="宋体" w:hAnsi="宋体" w:cs="宋体"/>
                <w:color w:val="auto"/>
                <w:kern w:val="0"/>
                <w:sz w:val="24"/>
                <w:szCs w:val="24"/>
                <w:highlight w:val="none"/>
                <w:lang w:val="en-US" w:eastAsia="zh-CN" w:bidi="ar"/>
              </w:rPr>
              <w:t>方案</w:t>
            </w:r>
            <w:r>
              <w:rPr>
                <w:rFonts w:hint="eastAsia" w:ascii="宋体" w:hAnsi="宋体" w:eastAsia="宋体" w:cs="宋体"/>
                <w:color w:val="auto"/>
                <w:kern w:val="0"/>
                <w:sz w:val="24"/>
                <w:szCs w:val="24"/>
                <w:highlight w:val="none"/>
                <w:lang w:val="en-US" w:eastAsia="zh-CN" w:bidi="ar"/>
              </w:rPr>
              <w:t xml:space="preserve">                               （5分)</w:t>
            </w:r>
          </w:p>
        </w:tc>
        <w:tc>
          <w:tcPr>
            <w:tcW w:w="7304" w:type="dxa"/>
            <w:noWrap w:val="0"/>
            <w:vAlign w:val="center"/>
          </w:tcPr>
          <w:p w14:paraId="33DA9277">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投标人须提供服务方案包含但不限于：①服务内容②服务方式③ </w:t>
            </w:r>
          </w:p>
          <w:p w14:paraId="77DB62EA">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服务响应措施④服务组织安排； </w:t>
            </w:r>
          </w:p>
          <w:p w14:paraId="01547173">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内容表述切实合理可行，响应快，组织安排合理，可执行性强的 </w:t>
            </w:r>
          </w:p>
          <w:p w14:paraId="5483E1FF">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得 </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分；内容表述基本合理可行，响应较快，组织安排基本合理，可执行性较强的得 3 分；内容表述合理一般可行，响应一般，组织安排一般，可执行性一般的得 1 分。</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评审依据：</w:t>
            </w:r>
            <w:r>
              <w:rPr>
                <w:rFonts w:hint="eastAsia" w:ascii="宋体" w:hAnsi="宋体" w:cs="宋体"/>
                <w:b/>
                <w:bCs/>
                <w:color w:val="auto"/>
                <w:kern w:val="0"/>
                <w:sz w:val="24"/>
                <w:szCs w:val="24"/>
                <w:highlight w:val="none"/>
                <w:lang w:val="en-US" w:eastAsia="zh-CN" w:bidi="ar"/>
              </w:rPr>
              <w:t>根据</w:t>
            </w:r>
            <w:r>
              <w:rPr>
                <w:rFonts w:hint="eastAsia" w:ascii="宋体" w:hAnsi="宋体" w:eastAsia="宋体" w:cs="宋体"/>
                <w:b/>
                <w:bCs/>
                <w:color w:val="auto"/>
                <w:kern w:val="0"/>
                <w:sz w:val="24"/>
                <w:szCs w:val="24"/>
                <w:highlight w:val="none"/>
                <w:lang w:val="en-US" w:eastAsia="zh-CN" w:bidi="ar"/>
              </w:rPr>
              <w:t>参选文件中提供的售后服务</w:t>
            </w:r>
            <w:r>
              <w:rPr>
                <w:rFonts w:hint="eastAsia" w:ascii="宋体" w:hAnsi="宋体" w:cs="宋体"/>
                <w:b/>
                <w:bCs/>
                <w:color w:val="auto"/>
                <w:kern w:val="0"/>
                <w:sz w:val="24"/>
                <w:szCs w:val="24"/>
                <w:highlight w:val="none"/>
                <w:lang w:val="en-US" w:eastAsia="zh-CN" w:bidi="ar"/>
              </w:rPr>
              <w:t>方案计分</w:t>
            </w:r>
            <w:r>
              <w:rPr>
                <w:rFonts w:hint="eastAsia" w:ascii="宋体" w:hAnsi="宋体" w:eastAsia="宋体" w:cs="宋体"/>
                <w:b/>
                <w:bCs/>
                <w:color w:val="auto"/>
                <w:kern w:val="0"/>
                <w:sz w:val="24"/>
                <w:szCs w:val="24"/>
                <w:highlight w:val="none"/>
                <w:lang w:val="en-US" w:eastAsia="zh-CN" w:bidi="ar"/>
              </w:rPr>
              <w:t xml:space="preserve">。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4463EA2F">
            <w:pPr>
              <w:spacing w:line="420" w:lineRule="exact"/>
              <w:jc w:val="both"/>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 xml:space="preserve">服务方案 </w:t>
            </w:r>
          </w:p>
          <w:p w14:paraId="30CCE43E">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12B17F2B">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为保障货物运输，供应商提供的运输方案包括但不限于安全保障措施和质量保障措施。</w:t>
            </w:r>
          </w:p>
          <w:p w14:paraId="527CE4E1">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安全保障措施有完整的安全管理制度和有效的安全防护制度得10分；有较完整的安全管理制度和较有效的安全防护制度得5分；一般性得2分；</w:t>
            </w:r>
          </w:p>
          <w:p w14:paraId="34508DFC">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质量保障有完整的质量管理体系的得10分；有较完整的管理体系得5分，一般性的得2分。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eastAsia="zh-CN"/>
              </w:rPr>
              <w:t>服务方案</w:t>
            </w:r>
            <w:r>
              <w:rPr>
                <w:rFonts w:hint="eastAsia" w:ascii="宋体" w:hAnsi="宋体" w:eastAsia="宋体" w:cs="宋体"/>
                <w:b/>
                <w:bCs/>
                <w:color w:val="auto"/>
                <w:sz w:val="24"/>
                <w:szCs w:val="24"/>
                <w:highlight w:val="none"/>
              </w:rPr>
              <w:t>计分。</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bidi w:val="0"/>
        <w:jc w:val="both"/>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一、招标要约价</w:t>
      </w:r>
    </w:p>
    <w:tbl>
      <w:tblPr>
        <w:tblStyle w:val="27"/>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1957"/>
        <w:gridCol w:w="1432"/>
        <w:gridCol w:w="540"/>
        <w:gridCol w:w="1140"/>
        <w:gridCol w:w="1140"/>
        <w:gridCol w:w="765"/>
        <w:gridCol w:w="1320"/>
        <w:gridCol w:w="923"/>
      </w:tblGrid>
      <w:tr w14:paraId="55F2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jc w:val="center"/>
        </w:trPr>
        <w:tc>
          <w:tcPr>
            <w:tcW w:w="840" w:type="dxa"/>
            <w:shd w:val="clear" w:color="auto" w:fill="auto"/>
            <w:vAlign w:val="center"/>
          </w:tcPr>
          <w:p w14:paraId="532A7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57" w:type="dxa"/>
            <w:shd w:val="clear" w:color="auto" w:fill="auto"/>
            <w:vAlign w:val="center"/>
          </w:tcPr>
          <w:p w14:paraId="30D65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1432" w:type="dxa"/>
            <w:shd w:val="clear" w:color="auto" w:fill="auto"/>
            <w:vAlign w:val="center"/>
          </w:tcPr>
          <w:p w14:paraId="7A0AD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40" w:type="dxa"/>
            <w:shd w:val="clear" w:color="auto" w:fill="auto"/>
            <w:vAlign w:val="center"/>
          </w:tcPr>
          <w:p w14:paraId="64A6F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shd w:val="clear" w:color="auto" w:fill="auto"/>
            <w:vAlign w:val="center"/>
          </w:tcPr>
          <w:p w14:paraId="3B3A6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40" w:type="dxa"/>
            <w:shd w:val="clear" w:color="auto" w:fill="auto"/>
            <w:vAlign w:val="center"/>
          </w:tcPr>
          <w:p w14:paraId="57C61A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含税单价（元）</w:t>
            </w:r>
          </w:p>
        </w:tc>
        <w:tc>
          <w:tcPr>
            <w:tcW w:w="765" w:type="dxa"/>
            <w:shd w:val="clear" w:color="auto" w:fill="auto"/>
            <w:vAlign w:val="center"/>
          </w:tcPr>
          <w:p w14:paraId="28A4B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1320" w:type="dxa"/>
            <w:shd w:val="clear" w:color="auto" w:fill="auto"/>
            <w:vAlign w:val="center"/>
          </w:tcPr>
          <w:p w14:paraId="2BE59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总价（元）</w:t>
            </w:r>
          </w:p>
        </w:tc>
        <w:tc>
          <w:tcPr>
            <w:tcW w:w="923" w:type="dxa"/>
            <w:shd w:val="clear" w:color="auto" w:fill="auto"/>
            <w:vAlign w:val="center"/>
          </w:tcPr>
          <w:p w14:paraId="616B5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315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840" w:type="dxa"/>
            <w:shd w:val="clear" w:color="auto" w:fill="auto"/>
            <w:vAlign w:val="center"/>
          </w:tcPr>
          <w:p w14:paraId="4ACC0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7" w:type="dxa"/>
            <w:shd w:val="clear" w:color="auto" w:fill="auto"/>
            <w:vAlign w:val="center"/>
          </w:tcPr>
          <w:p w14:paraId="048B7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w:t>
            </w:r>
          </w:p>
        </w:tc>
        <w:tc>
          <w:tcPr>
            <w:tcW w:w="1432" w:type="dxa"/>
            <w:shd w:val="clear" w:color="auto" w:fill="auto"/>
            <w:vAlign w:val="center"/>
          </w:tcPr>
          <w:p w14:paraId="46A94F19">
            <w:pPr>
              <w:jc w:val="center"/>
              <w:rPr>
                <w:rFonts w:hint="eastAsia" w:ascii="宋体" w:hAnsi="宋体" w:eastAsia="宋体" w:cs="宋体"/>
                <w:i w:val="0"/>
                <w:iCs w:val="0"/>
                <w:color w:val="000000"/>
                <w:sz w:val="24"/>
                <w:szCs w:val="24"/>
                <w:u w:val="none"/>
              </w:rPr>
            </w:pPr>
          </w:p>
        </w:tc>
        <w:tc>
          <w:tcPr>
            <w:tcW w:w="540" w:type="dxa"/>
            <w:shd w:val="clear" w:color="auto" w:fill="auto"/>
            <w:vAlign w:val="center"/>
          </w:tcPr>
          <w:p w14:paraId="39FC5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140" w:type="dxa"/>
            <w:shd w:val="clear" w:color="auto" w:fill="auto"/>
            <w:vAlign w:val="center"/>
          </w:tcPr>
          <w:p w14:paraId="14D35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8155.82 </w:t>
            </w:r>
          </w:p>
        </w:tc>
        <w:tc>
          <w:tcPr>
            <w:tcW w:w="1140" w:type="dxa"/>
            <w:shd w:val="clear" w:color="auto" w:fill="auto"/>
            <w:vAlign w:val="center"/>
          </w:tcPr>
          <w:p w14:paraId="24F95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 </w:t>
            </w:r>
          </w:p>
        </w:tc>
        <w:tc>
          <w:tcPr>
            <w:tcW w:w="765" w:type="dxa"/>
            <w:shd w:val="clear" w:color="auto" w:fill="auto"/>
            <w:vAlign w:val="center"/>
          </w:tcPr>
          <w:p w14:paraId="445D5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20" w:type="dxa"/>
            <w:shd w:val="clear" w:color="auto" w:fill="auto"/>
            <w:vAlign w:val="center"/>
          </w:tcPr>
          <w:p w14:paraId="6BC51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16311.64 </w:t>
            </w:r>
          </w:p>
        </w:tc>
        <w:tc>
          <w:tcPr>
            <w:tcW w:w="923" w:type="dxa"/>
            <w:shd w:val="clear" w:color="auto" w:fill="auto"/>
            <w:vAlign w:val="center"/>
          </w:tcPr>
          <w:p w14:paraId="41044734">
            <w:pPr>
              <w:jc w:val="center"/>
              <w:rPr>
                <w:rFonts w:hint="eastAsia" w:ascii="宋体" w:hAnsi="宋体" w:eastAsia="宋体" w:cs="宋体"/>
                <w:i w:val="0"/>
                <w:iCs w:val="0"/>
                <w:color w:val="000000"/>
                <w:sz w:val="24"/>
                <w:szCs w:val="24"/>
                <w:u w:val="none"/>
              </w:rPr>
            </w:pPr>
          </w:p>
        </w:tc>
      </w:tr>
      <w:tr w14:paraId="18DB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840" w:type="dxa"/>
            <w:shd w:val="clear" w:color="auto" w:fill="auto"/>
            <w:vAlign w:val="center"/>
          </w:tcPr>
          <w:p w14:paraId="69ECF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7" w:type="dxa"/>
            <w:shd w:val="clear" w:color="auto" w:fill="auto"/>
            <w:vAlign w:val="center"/>
          </w:tcPr>
          <w:p w14:paraId="319BA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改性细粒式沥青玛蹄脂碎石面层</w:t>
            </w:r>
          </w:p>
        </w:tc>
        <w:tc>
          <w:tcPr>
            <w:tcW w:w="1432" w:type="dxa"/>
            <w:shd w:val="clear" w:color="auto" w:fill="auto"/>
            <w:vAlign w:val="center"/>
          </w:tcPr>
          <w:p w14:paraId="5FC45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SMA-13C</w:t>
            </w:r>
          </w:p>
        </w:tc>
        <w:tc>
          <w:tcPr>
            <w:tcW w:w="540" w:type="dxa"/>
            <w:shd w:val="clear" w:color="auto" w:fill="auto"/>
            <w:vAlign w:val="center"/>
          </w:tcPr>
          <w:p w14:paraId="47634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40" w:type="dxa"/>
            <w:shd w:val="clear" w:color="auto" w:fill="auto"/>
            <w:vAlign w:val="center"/>
          </w:tcPr>
          <w:p w14:paraId="5791F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584.14 </w:t>
            </w:r>
          </w:p>
        </w:tc>
        <w:tc>
          <w:tcPr>
            <w:tcW w:w="1140" w:type="dxa"/>
            <w:shd w:val="clear" w:color="auto" w:fill="auto"/>
            <w:vAlign w:val="center"/>
          </w:tcPr>
          <w:p w14:paraId="3D0B02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1470.00 </w:t>
            </w:r>
          </w:p>
        </w:tc>
        <w:tc>
          <w:tcPr>
            <w:tcW w:w="765" w:type="dxa"/>
            <w:shd w:val="clear" w:color="auto" w:fill="auto"/>
            <w:vAlign w:val="center"/>
          </w:tcPr>
          <w:p w14:paraId="263A8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20" w:type="dxa"/>
            <w:shd w:val="clear" w:color="auto" w:fill="auto"/>
            <w:vAlign w:val="center"/>
          </w:tcPr>
          <w:p w14:paraId="6F705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858685.80 </w:t>
            </w:r>
          </w:p>
        </w:tc>
        <w:tc>
          <w:tcPr>
            <w:tcW w:w="923" w:type="dxa"/>
            <w:shd w:val="clear" w:color="auto" w:fill="auto"/>
            <w:vAlign w:val="center"/>
          </w:tcPr>
          <w:p w14:paraId="652753EA">
            <w:pPr>
              <w:jc w:val="center"/>
              <w:rPr>
                <w:rFonts w:hint="eastAsia" w:ascii="宋体" w:hAnsi="宋体" w:eastAsia="宋体" w:cs="宋体"/>
                <w:i w:val="0"/>
                <w:iCs w:val="0"/>
                <w:color w:val="000000"/>
                <w:sz w:val="24"/>
                <w:szCs w:val="24"/>
                <w:u w:val="none"/>
              </w:rPr>
            </w:pPr>
          </w:p>
        </w:tc>
      </w:tr>
      <w:tr w14:paraId="21DD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840" w:type="dxa"/>
            <w:shd w:val="clear" w:color="auto" w:fill="auto"/>
            <w:vAlign w:val="center"/>
          </w:tcPr>
          <w:p w14:paraId="056FA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7" w:type="dxa"/>
            <w:shd w:val="clear" w:color="auto" w:fill="auto"/>
            <w:vAlign w:val="center"/>
          </w:tcPr>
          <w:p w14:paraId="0E819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改性中粒式沥青混凝土</w:t>
            </w:r>
          </w:p>
        </w:tc>
        <w:tc>
          <w:tcPr>
            <w:tcW w:w="1432" w:type="dxa"/>
            <w:shd w:val="clear" w:color="auto" w:fill="auto"/>
            <w:vAlign w:val="center"/>
          </w:tcPr>
          <w:p w14:paraId="33AC9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AC-20C</w:t>
            </w:r>
          </w:p>
        </w:tc>
        <w:tc>
          <w:tcPr>
            <w:tcW w:w="540" w:type="dxa"/>
            <w:shd w:val="clear" w:color="auto" w:fill="auto"/>
            <w:vAlign w:val="center"/>
          </w:tcPr>
          <w:p w14:paraId="5FFEF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40" w:type="dxa"/>
            <w:shd w:val="clear" w:color="auto" w:fill="auto"/>
            <w:vAlign w:val="center"/>
          </w:tcPr>
          <w:p w14:paraId="468C8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121.81 </w:t>
            </w:r>
          </w:p>
        </w:tc>
        <w:tc>
          <w:tcPr>
            <w:tcW w:w="1140" w:type="dxa"/>
            <w:shd w:val="clear" w:color="auto" w:fill="auto"/>
            <w:vAlign w:val="center"/>
          </w:tcPr>
          <w:p w14:paraId="15BA7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985.00 </w:t>
            </w:r>
          </w:p>
        </w:tc>
        <w:tc>
          <w:tcPr>
            <w:tcW w:w="765" w:type="dxa"/>
            <w:shd w:val="clear" w:color="auto" w:fill="auto"/>
            <w:vAlign w:val="center"/>
          </w:tcPr>
          <w:p w14:paraId="2AE70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20" w:type="dxa"/>
            <w:shd w:val="clear" w:color="auto" w:fill="auto"/>
            <w:vAlign w:val="center"/>
          </w:tcPr>
          <w:p w14:paraId="35D7B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119982.85 </w:t>
            </w:r>
          </w:p>
        </w:tc>
        <w:tc>
          <w:tcPr>
            <w:tcW w:w="923" w:type="dxa"/>
            <w:shd w:val="clear" w:color="auto" w:fill="auto"/>
            <w:vAlign w:val="center"/>
          </w:tcPr>
          <w:p w14:paraId="7112EB0A">
            <w:pPr>
              <w:jc w:val="center"/>
              <w:rPr>
                <w:rFonts w:hint="eastAsia" w:ascii="宋体" w:hAnsi="宋体" w:eastAsia="宋体" w:cs="宋体"/>
                <w:i w:val="0"/>
                <w:iCs w:val="0"/>
                <w:color w:val="000000"/>
                <w:sz w:val="24"/>
                <w:szCs w:val="24"/>
                <w:u w:val="none"/>
              </w:rPr>
            </w:pPr>
          </w:p>
        </w:tc>
      </w:tr>
      <w:tr w14:paraId="332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jc w:val="center"/>
        </w:trPr>
        <w:tc>
          <w:tcPr>
            <w:tcW w:w="7814" w:type="dxa"/>
            <w:gridSpan w:val="7"/>
            <w:shd w:val="clear" w:color="auto" w:fill="auto"/>
            <w:vAlign w:val="center"/>
          </w:tcPr>
          <w:p w14:paraId="42DF6D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w:t>
            </w:r>
          </w:p>
        </w:tc>
        <w:tc>
          <w:tcPr>
            <w:tcW w:w="1320" w:type="dxa"/>
            <w:shd w:val="clear" w:color="auto" w:fill="auto"/>
            <w:vAlign w:val="center"/>
          </w:tcPr>
          <w:p w14:paraId="5D09995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994980.29 </w:t>
            </w:r>
          </w:p>
        </w:tc>
        <w:tc>
          <w:tcPr>
            <w:tcW w:w="923" w:type="dxa"/>
            <w:shd w:val="clear" w:color="auto" w:fill="auto"/>
            <w:vAlign w:val="center"/>
          </w:tcPr>
          <w:p w14:paraId="3E5B4FC6">
            <w:pPr>
              <w:jc w:val="center"/>
              <w:rPr>
                <w:rFonts w:hint="eastAsia" w:ascii="宋体" w:hAnsi="宋体" w:eastAsia="宋体" w:cs="宋体"/>
                <w:b/>
                <w:bCs/>
                <w:i w:val="0"/>
                <w:iCs w:val="0"/>
                <w:color w:val="000000"/>
                <w:sz w:val="24"/>
                <w:szCs w:val="24"/>
                <w:u w:val="none"/>
              </w:rPr>
            </w:pPr>
          </w:p>
        </w:tc>
      </w:tr>
      <w:tr w14:paraId="29A3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82" w:hRule="atLeast"/>
          <w:jc w:val="center"/>
        </w:trPr>
        <w:tc>
          <w:tcPr>
            <w:tcW w:w="10057" w:type="dxa"/>
            <w:gridSpan w:val="9"/>
            <w:shd w:val="clear" w:color="auto" w:fill="auto"/>
            <w:vAlign w:val="center"/>
          </w:tcPr>
          <w:p w14:paraId="66BFE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备注：1、以上含税单价均包括运、装卸到场费用；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2、招标数量为按设计图纸理论计量，结算按实调整；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3、暂估价材料结算据实调整。</w:t>
            </w:r>
          </w:p>
        </w:tc>
      </w:tr>
    </w:tbl>
    <w:p w14:paraId="10487DA2">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28"/>
          <w:szCs w:val="28"/>
          <w:highlight w:val="none"/>
          <w:lang w:eastAsia="zh-CN"/>
        </w:rPr>
      </w:pPr>
      <w:r>
        <w:rPr>
          <w:rFonts w:hint="eastAsia" w:ascii="宋体" w:hAnsi="宋体" w:eastAsia="宋体" w:cs="宋体"/>
          <w:b/>
          <w:kern w:val="2"/>
          <w:sz w:val="28"/>
          <w:szCs w:val="28"/>
          <w:highlight w:val="none"/>
          <w:lang w:val="en-US" w:eastAsia="zh-CN" w:bidi="ar-SA"/>
        </w:rPr>
        <w:t>二、</w:t>
      </w:r>
      <w:r>
        <w:rPr>
          <w:rFonts w:hint="eastAsia" w:ascii="宋体" w:hAnsi="宋体" w:eastAsia="宋体" w:cs="宋体"/>
          <w:b/>
          <w:sz w:val="28"/>
          <w:szCs w:val="28"/>
          <w:highlight w:val="none"/>
          <w:lang w:eastAsia="zh-CN"/>
        </w:rPr>
        <w:t>技术要求</w:t>
      </w: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6"/>
        <w:gridCol w:w="2350"/>
        <w:gridCol w:w="1755"/>
        <w:gridCol w:w="777"/>
        <w:gridCol w:w="1140"/>
        <w:gridCol w:w="765"/>
        <w:gridCol w:w="923"/>
      </w:tblGrid>
      <w:tr w14:paraId="48DE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0" w:hRule="atLeast"/>
          <w:jc w:val="center"/>
        </w:trPr>
        <w:tc>
          <w:tcPr>
            <w:tcW w:w="776" w:type="dxa"/>
            <w:shd w:val="clear" w:color="auto" w:fill="auto"/>
            <w:vAlign w:val="center"/>
          </w:tcPr>
          <w:p w14:paraId="12C71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50" w:type="dxa"/>
            <w:shd w:val="clear" w:color="auto" w:fill="auto"/>
            <w:vAlign w:val="center"/>
          </w:tcPr>
          <w:p w14:paraId="22BF0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1755" w:type="dxa"/>
            <w:shd w:val="clear" w:color="auto" w:fill="auto"/>
            <w:vAlign w:val="center"/>
          </w:tcPr>
          <w:p w14:paraId="54109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77" w:type="dxa"/>
            <w:shd w:val="clear" w:color="auto" w:fill="auto"/>
            <w:vAlign w:val="center"/>
          </w:tcPr>
          <w:p w14:paraId="2B497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shd w:val="clear" w:color="auto" w:fill="auto"/>
            <w:vAlign w:val="center"/>
          </w:tcPr>
          <w:p w14:paraId="3A4F4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65" w:type="dxa"/>
            <w:shd w:val="clear" w:color="auto" w:fill="auto"/>
            <w:vAlign w:val="center"/>
          </w:tcPr>
          <w:p w14:paraId="3DDAC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税率</w:t>
            </w:r>
          </w:p>
        </w:tc>
        <w:tc>
          <w:tcPr>
            <w:tcW w:w="923" w:type="dxa"/>
            <w:shd w:val="clear" w:color="auto" w:fill="auto"/>
            <w:vAlign w:val="center"/>
          </w:tcPr>
          <w:p w14:paraId="6D5E2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177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776" w:type="dxa"/>
            <w:shd w:val="clear" w:color="auto" w:fill="auto"/>
            <w:vAlign w:val="center"/>
          </w:tcPr>
          <w:p w14:paraId="57F633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0" w:type="dxa"/>
            <w:shd w:val="clear" w:color="auto" w:fill="auto"/>
            <w:vAlign w:val="center"/>
          </w:tcPr>
          <w:p w14:paraId="41A20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乳化沥青</w:t>
            </w:r>
          </w:p>
        </w:tc>
        <w:tc>
          <w:tcPr>
            <w:tcW w:w="1755" w:type="dxa"/>
            <w:shd w:val="clear" w:color="auto" w:fill="auto"/>
            <w:vAlign w:val="center"/>
          </w:tcPr>
          <w:p w14:paraId="5C97B6CD">
            <w:pPr>
              <w:jc w:val="center"/>
              <w:rPr>
                <w:rFonts w:hint="eastAsia" w:ascii="宋体" w:hAnsi="宋体" w:eastAsia="宋体" w:cs="宋体"/>
                <w:i w:val="0"/>
                <w:iCs w:val="0"/>
                <w:color w:val="000000"/>
                <w:sz w:val="24"/>
                <w:szCs w:val="24"/>
                <w:u w:val="none"/>
              </w:rPr>
            </w:pPr>
          </w:p>
        </w:tc>
        <w:tc>
          <w:tcPr>
            <w:tcW w:w="777" w:type="dxa"/>
            <w:shd w:val="clear" w:color="auto" w:fill="auto"/>
            <w:vAlign w:val="center"/>
          </w:tcPr>
          <w:p w14:paraId="39D60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1140" w:type="dxa"/>
            <w:shd w:val="clear" w:color="auto" w:fill="auto"/>
            <w:vAlign w:val="center"/>
          </w:tcPr>
          <w:p w14:paraId="104E0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8155.82 </w:t>
            </w:r>
          </w:p>
        </w:tc>
        <w:tc>
          <w:tcPr>
            <w:tcW w:w="765" w:type="dxa"/>
            <w:shd w:val="clear" w:color="auto" w:fill="auto"/>
            <w:vAlign w:val="center"/>
          </w:tcPr>
          <w:p w14:paraId="6D882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23" w:type="dxa"/>
            <w:shd w:val="clear" w:color="auto" w:fill="auto"/>
            <w:vAlign w:val="center"/>
          </w:tcPr>
          <w:p w14:paraId="16DF7526">
            <w:pPr>
              <w:jc w:val="center"/>
              <w:rPr>
                <w:rFonts w:hint="eastAsia" w:ascii="宋体" w:hAnsi="宋体" w:eastAsia="宋体" w:cs="宋体"/>
                <w:i w:val="0"/>
                <w:iCs w:val="0"/>
                <w:color w:val="000000"/>
                <w:sz w:val="24"/>
                <w:szCs w:val="24"/>
                <w:u w:val="none"/>
              </w:rPr>
            </w:pPr>
          </w:p>
        </w:tc>
      </w:tr>
      <w:tr w14:paraId="0F80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776" w:type="dxa"/>
            <w:shd w:val="clear" w:color="auto" w:fill="auto"/>
            <w:vAlign w:val="center"/>
          </w:tcPr>
          <w:p w14:paraId="5284F8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0" w:type="dxa"/>
            <w:shd w:val="clear" w:color="auto" w:fill="auto"/>
            <w:vAlign w:val="center"/>
          </w:tcPr>
          <w:p w14:paraId="19FD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改性细粒式沥青玛蹄脂碎石面层</w:t>
            </w:r>
          </w:p>
        </w:tc>
        <w:tc>
          <w:tcPr>
            <w:tcW w:w="1755" w:type="dxa"/>
            <w:shd w:val="clear" w:color="auto" w:fill="auto"/>
            <w:vAlign w:val="center"/>
          </w:tcPr>
          <w:p w14:paraId="11120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SMA-13C</w:t>
            </w:r>
          </w:p>
        </w:tc>
        <w:tc>
          <w:tcPr>
            <w:tcW w:w="777" w:type="dxa"/>
            <w:shd w:val="clear" w:color="auto" w:fill="auto"/>
            <w:vAlign w:val="center"/>
          </w:tcPr>
          <w:p w14:paraId="2472A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40" w:type="dxa"/>
            <w:shd w:val="clear" w:color="auto" w:fill="auto"/>
            <w:vAlign w:val="center"/>
          </w:tcPr>
          <w:p w14:paraId="0FDE9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584.14 </w:t>
            </w:r>
          </w:p>
        </w:tc>
        <w:tc>
          <w:tcPr>
            <w:tcW w:w="765" w:type="dxa"/>
            <w:shd w:val="clear" w:color="auto" w:fill="auto"/>
            <w:vAlign w:val="center"/>
          </w:tcPr>
          <w:p w14:paraId="2280A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23" w:type="dxa"/>
            <w:shd w:val="clear" w:color="auto" w:fill="auto"/>
            <w:vAlign w:val="center"/>
          </w:tcPr>
          <w:p w14:paraId="2F0B1928">
            <w:pPr>
              <w:jc w:val="center"/>
              <w:rPr>
                <w:rFonts w:hint="eastAsia" w:ascii="宋体" w:hAnsi="宋体" w:eastAsia="宋体" w:cs="宋体"/>
                <w:i w:val="0"/>
                <w:iCs w:val="0"/>
                <w:color w:val="000000"/>
                <w:sz w:val="24"/>
                <w:szCs w:val="24"/>
                <w:u w:val="none"/>
              </w:rPr>
            </w:pPr>
          </w:p>
        </w:tc>
      </w:tr>
      <w:tr w14:paraId="279B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0" w:hRule="atLeast"/>
          <w:jc w:val="center"/>
        </w:trPr>
        <w:tc>
          <w:tcPr>
            <w:tcW w:w="776" w:type="dxa"/>
            <w:shd w:val="clear" w:color="auto" w:fill="auto"/>
            <w:vAlign w:val="center"/>
          </w:tcPr>
          <w:p w14:paraId="4E99D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0" w:type="dxa"/>
            <w:shd w:val="clear" w:color="auto" w:fill="auto"/>
            <w:vAlign w:val="center"/>
          </w:tcPr>
          <w:p w14:paraId="0116E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改性中粒式沥青混凝土</w:t>
            </w:r>
          </w:p>
        </w:tc>
        <w:tc>
          <w:tcPr>
            <w:tcW w:w="1755" w:type="dxa"/>
            <w:shd w:val="clear" w:color="auto" w:fill="auto"/>
            <w:vAlign w:val="center"/>
          </w:tcPr>
          <w:p w14:paraId="347B6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AC-20C</w:t>
            </w:r>
          </w:p>
        </w:tc>
        <w:tc>
          <w:tcPr>
            <w:tcW w:w="777" w:type="dxa"/>
            <w:shd w:val="clear" w:color="auto" w:fill="auto"/>
            <w:vAlign w:val="center"/>
          </w:tcPr>
          <w:p w14:paraId="25F5E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140" w:type="dxa"/>
            <w:shd w:val="clear" w:color="auto" w:fill="auto"/>
            <w:vAlign w:val="center"/>
          </w:tcPr>
          <w:p w14:paraId="6EC5E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121.81 </w:t>
            </w:r>
          </w:p>
        </w:tc>
        <w:tc>
          <w:tcPr>
            <w:tcW w:w="765" w:type="dxa"/>
            <w:shd w:val="clear" w:color="auto" w:fill="auto"/>
            <w:vAlign w:val="center"/>
          </w:tcPr>
          <w:p w14:paraId="2C22F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23" w:type="dxa"/>
            <w:shd w:val="clear" w:color="auto" w:fill="auto"/>
            <w:vAlign w:val="center"/>
          </w:tcPr>
          <w:p w14:paraId="2BD719F5">
            <w:pPr>
              <w:jc w:val="center"/>
              <w:rPr>
                <w:rFonts w:hint="eastAsia" w:ascii="宋体" w:hAnsi="宋体" w:eastAsia="宋体" w:cs="宋体"/>
                <w:i w:val="0"/>
                <w:iCs w:val="0"/>
                <w:color w:val="000000"/>
                <w:sz w:val="24"/>
                <w:szCs w:val="24"/>
                <w:u w:val="none"/>
              </w:rPr>
            </w:pPr>
          </w:p>
        </w:tc>
      </w:tr>
    </w:tbl>
    <w:p w14:paraId="785B1234">
      <w:pPr>
        <w:numPr>
          <w:ilvl w:val="0"/>
          <w:numId w:val="0"/>
        </w:numPr>
        <w:bidi w:val="0"/>
        <w:jc w:val="both"/>
        <w:rPr>
          <w:rFonts w:hint="eastAsia" w:ascii="宋体" w:hAnsi="宋体" w:eastAsia="宋体" w:cs="宋体"/>
          <w:b/>
          <w:sz w:val="36"/>
          <w:szCs w:val="36"/>
          <w:highlight w:val="none"/>
          <w:lang w:eastAsia="zh-CN"/>
        </w:rPr>
      </w:pPr>
    </w:p>
    <w:p w14:paraId="59F29E27">
      <w:pPr>
        <w:numPr>
          <w:ilvl w:val="0"/>
          <w:numId w:val="0"/>
        </w:numPr>
        <w:bidi w:val="0"/>
        <w:jc w:val="both"/>
        <w:rPr>
          <w:rFonts w:hint="eastAsia" w:ascii="宋体" w:hAnsi="宋体" w:cs="宋体"/>
          <w:b w:val="0"/>
          <w:bCs w:val="0"/>
          <w:color w:val="auto"/>
          <w:kern w:val="0"/>
          <w:sz w:val="28"/>
          <w:szCs w:val="28"/>
          <w:highlight w:val="none"/>
          <w:lang w:val="en-US" w:eastAsia="zh-CN"/>
        </w:rPr>
      </w:pPr>
      <w:r>
        <w:rPr>
          <w:rFonts w:hint="eastAsia" w:ascii="宋体" w:hAnsi="宋体" w:eastAsia="宋体" w:cs="宋体"/>
          <w:b/>
          <w:sz w:val="28"/>
          <w:szCs w:val="28"/>
          <w:highlight w:val="none"/>
          <w:lang w:eastAsia="zh-CN"/>
        </w:rPr>
        <w:t>三、商务条款</w:t>
      </w:r>
    </w:p>
    <w:p w14:paraId="42D3FF1D">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rPr>
        <w:t>交货地点：</w:t>
      </w:r>
      <w:r>
        <w:rPr>
          <w:rFonts w:hint="eastAsia" w:ascii="宋体" w:hAnsi="宋体" w:cs="宋体"/>
          <w:b w:val="0"/>
          <w:bCs w:val="0"/>
          <w:color w:val="auto"/>
          <w:kern w:val="0"/>
          <w:sz w:val="24"/>
          <w:szCs w:val="24"/>
          <w:highlight w:val="none"/>
          <w:lang w:eastAsia="zh-CN"/>
        </w:rPr>
        <w:t>招标人指定地点</w:t>
      </w:r>
      <w:r>
        <w:rPr>
          <w:rFonts w:hint="eastAsia" w:ascii="宋体" w:hAnsi="宋体" w:cs="宋体"/>
          <w:b w:val="0"/>
          <w:bCs w:val="0"/>
          <w:color w:val="auto"/>
          <w:kern w:val="0"/>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 </w:t>
      </w:r>
    </w:p>
    <w:p w14:paraId="504C0933">
      <w:pPr>
        <w:spacing w:line="360" w:lineRule="auto"/>
        <w:rPr>
          <w:rFonts w:hint="eastAsia" w:ascii="宋体" w:hAnsi="宋体" w:cs="宋体"/>
          <w:b w:val="0"/>
          <w:bCs w:val="0"/>
          <w:color w:val="auto"/>
          <w:sz w:val="24"/>
          <w:szCs w:val="24"/>
          <w:highlight w:val="none"/>
        </w:rPr>
      </w:pPr>
      <w:r>
        <w:rPr>
          <w:rFonts w:hint="eastAsia" w:ascii="宋体" w:hAnsi="宋体" w:cs="宋体"/>
          <w:b w:val="0"/>
          <w:bCs w:val="0"/>
          <w:color w:val="auto"/>
          <w:kern w:val="0"/>
          <w:sz w:val="24"/>
          <w:szCs w:val="24"/>
          <w:highlight w:val="none"/>
        </w:rPr>
        <w:t>2</w:t>
      </w:r>
      <w:r>
        <w:rPr>
          <w:rFonts w:hint="eastAsia" w:ascii="宋体" w:hAnsi="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交货期限</w:t>
      </w:r>
      <w:r>
        <w:rPr>
          <w:rFonts w:hint="eastAsia"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按甲方要求分批次供应</w:t>
      </w:r>
    </w:p>
    <w:p w14:paraId="324BBA36">
      <w:pPr>
        <w:keepNext w:val="0"/>
        <w:keepLines w:val="0"/>
        <w:widowControl/>
        <w:suppressLineNumbers w:val="0"/>
        <w:jc w:val="left"/>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cs="宋体"/>
          <w:b w:val="0"/>
          <w:bCs w:val="0"/>
          <w:i w:val="0"/>
          <w:iCs w:val="0"/>
          <w:color w:val="000000"/>
          <w:kern w:val="0"/>
          <w:sz w:val="24"/>
          <w:szCs w:val="24"/>
          <w:highlight w:val="none"/>
          <w:u w:val="none"/>
          <w:lang w:val="en-US" w:eastAsia="zh-CN" w:bidi="ar"/>
        </w:rPr>
        <w:t>3、售后服务：</w:t>
      </w:r>
    </w:p>
    <w:p w14:paraId="5DF9CF0F">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（1）自货物验收合格之日起，中标单位对所供货物提供 24 个月的质保期，因货物质量原因导致修理或更换部分的质保期从完工验收合格之日起计算。 </w:t>
      </w:r>
    </w:p>
    <w:p w14:paraId="70D28189">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（2）在初始运行阶段，根据招标人要求，中标单位负责对招标人指定的人员在招标人处进行免费培训，培训内容包括合同货物的操作技能、工作原理、日常维护、故障检修和安全事项等。 </w:t>
      </w:r>
    </w:p>
    <w:p w14:paraId="30418B68">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（3）质保期内，中标单位所提供的维修及技术服务不收取任何费用（含运输、关税、材料、人工、差旅等费用及中标单位在质保期内免费为设备更换备品备件）。 </w:t>
      </w:r>
    </w:p>
    <w:p w14:paraId="3523890C">
      <w:pPr>
        <w:keepNext w:val="0"/>
        <w:keepLines w:val="0"/>
        <w:widowControl/>
        <w:suppressLineNumbers w:val="0"/>
        <w:ind w:firstLine="480" w:firstLineChars="200"/>
        <w:jc w:val="left"/>
        <w:rPr>
          <w:b w:val="0"/>
          <w:bCs w:val="0"/>
          <w:sz w:val="24"/>
          <w:szCs w:val="24"/>
          <w:highlight w:val="none"/>
        </w:rPr>
      </w:pPr>
      <w:r>
        <w:rPr>
          <w:rFonts w:hint="eastAsia" w:ascii="宋体" w:hAnsi="宋体" w:eastAsia="宋体" w:cs="宋体"/>
          <w:b w:val="0"/>
          <w:bCs w:val="0"/>
          <w:color w:val="000000"/>
          <w:kern w:val="0"/>
          <w:sz w:val="24"/>
          <w:szCs w:val="24"/>
          <w:highlight w:val="none"/>
          <w:lang w:val="en-US" w:eastAsia="zh-CN" w:bidi="ar"/>
        </w:rPr>
        <w:t xml:space="preserve">（4）质保期后，中标单位向招标人提供终身维修及服务，其费用按不高于材料成本价和历次服务费的标准执行，否则招标人有权按自己核定的价格向中标单位付款。 </w:t>
      </w:r>
    </w:p>
    <w:p w14:paraId="7B483765">
      <w:pPr>
        <w:keepNext w:val="0"/>
        <w:keepLines w:val="0"/>
        <w:widowControl/>
        <w:suppressLineNumbers w:val="0"/>
        <w:ind w:firstLine="480" w:firstLineChars="200"/>
        <w:jc w:val="left"/>
        <w:rPr>
          <w:rFonts w:hint="eastAsia" w:ascii="宋体" w:hAnsi="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color w:val="000000"/>
          <w:kern w:val="0"/>
          <w:sz w:val="24"/>
          <w:szCs w:val="24"/>
          <w:highlight w:val="none"/>
          <w:lang w:val="en-US" w:eastAsia="zh-CN" w:bidi="ar"/>
        </w:rPr>
        <w:t xml:space="preserve">（5）质保期内或质保期结束后，如货物出现故障，中标单位在接到招标人通知后二十四小时内须做出响应，四十八小时内免费给予技术支持或到达现场维修排除故障。如中标单位未在规定时间排除故障或更换问题货物，招标人有权委托第三方或自行修理，相关费用由中标单位支付。 </w:t>
      </w:r>
    </w:p>
    <w:p w14:paraId="167AECDE">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4、结算方式</w:t>
      </w:r>
    </w:p>
    <w:p w14:paraId="3DCB0B04">
      <w:pPr>
        <w:pStyle w:val="10"/>
        <w:rPr>
          <w:rFonts w:hint="default"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4.1结算依据：以甲、乙方双方确认的验收单为依据，单价按双方签订合同约定的价格结算，施工期间材料信息价涨跌幅超出±5%时，由甲乙双方分摊。</w:t>
      </w:r>
    </w:p>
    <w:p w14:paraId="2AD507D0">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4.2供货和付款方式：</w:t>
      </w:r>
    </w:p>
    <w:p w14:paraId="673EE3E3">
      <w:pPr>
        <w:pStyle w:val="10"/>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4.2.1甲、乙双方每季度核对供货情况，并编制对账单，双方签字无误后供方于3个工作日内乙方开具增值税专用发票，甲方收到发票后于7个工作日内支付每季度验收货款的70%。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b w:val="0"/>
          <w:bCs w:val="0"/>
          <w:color w:val="000000"/>
          <w:kern w:val="0"/>
          <w:sz w:val="24"/>
          <w:szCs w:val="24"/>
          <w:highlight w:val="none"/>
          <w:lang w:val="en-US" w:eastAsia="zh-CN" w:bidi="ar"/>
        </w:rPr>
        <w:t>4.2.2工程竣工双方验收合格，并办理结算后，乙方开具增值税专用发票后15个工作日内，甲方向乙方支付至验收材料款的97%，剩余3%作为质量保证金。待缺陷责任期12个月满后且无扣除情形的，一次性无息付清。</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1"/>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1"/>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23199452"/>
      <w:bookmarkStart w:id="47" w:name="_Toc344409075"/>
      <w:bookmarkStart w:id="48" w:name="_Toc344409279"/>
    </w:p>
    <w:p w14:paraId="67C60E3E">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6"/>
        <w:snapToGrid w:val="0"/>
        <w:spacing w:line="360" w:lineRule="auto"/>
        <w:ind w:firstLine="240" w:firstLineChars="10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按比选人提供的工程量清单明细逐条报价，必须响应招标要约价中的单价和总价。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1"/>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10"/>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6"/>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6"/>
              <w:spacing w:line="600" w:lineRule="exact"/>
              <w:jc w:val="center"/>
              <w:rPr>
                <w:rFonts w:hint="eastAsia"/>
                <w:color w:val="000000"/>
                <w:kern w:val="2"/>
                <w:szCs w:val="24"/>
                <w:highlight w:val="none"/>
              </w:rPr>
            </w:pPr>
          </w:p>
        </w:tc>
        <w:tc>
          <w:tcPr>
            <w:tcW w:w="1771" w:type="dxa"/>
            <w:noWrap w:val="0"/>
            <w:vAlign w:val="center"/>
          </w:tcPr>
          <w:p w14:paraId="0C032D89">
            <w:pPr>
              <w:pStyle w:val="16"/>
              <w:spacing w:line="600" w:lineRule="exact"/>
              <w:jc w:val="center"/>
              <w:rPr>
                <w:rFonts w:hint="eastAsia"/>
                <w:color w:val="000000"/>
                <w:kern w:val="2"/>
                <w:szCs w:val="24"/>
                <w:highlight w:val="none"/>
              </w:rPr>
            </w:pPr>
          </w:p>
        </w:tc>
        <w:tc>
          <w:tcPr>
            <w:tcW w:w="1802" w:type="dxa"/>
            <w:noWrap w:val="0"/>
            <w:vAlign w:val="center"/>
          </w:tcPr>
          <w:p w14:paraId="41623FD5">
            <w:pPr>
              <w:pStyle w:val="16"/>
              <w:spacing w:line="600" w:lineRule="exact"/>
              <w:jc w:val="center"/>
              <w:rPr>
                <w:rFonts w:hint="eastAsia"/>
                <w:color w:val="000000"/>
                <w:kern w:val="2"/>
                <w:szCs w:val="24"/>
                <w:highlight w:val="none"/>
              </w:rPr>
            </w:pPr>
          </w:p>
        </w:tc>
        <w:tc>
          <w:tcPr>
            <w:tcW w:w="1597" w:type="dxa"/>
            <w:noWrap w:val="0"/>
            <w:vAlign w:val="center"/>
          </w:tcPr>
          <w:p w14:paraId="1ABD68E8">
            <w:pPr>
              <w:pStyle w:val="16"/>
              <w:spacing w:line="600" w:lineRule="exact"/>
              <w:jc w:val="center"/>
              <w:rPr>
                <w:rFonts w:hint="eastAsia"/>
                <w:color w:val="000000"/>
                <w:kern w:val="2"/>
                <w:szCs w:val="24"/>
                <w:highlight w:val="none"/>
              </w:rPr>
            </w:pPr>
          </w:p>
        </w:tc>
        <w:tc>
          <w:tcPr>
            <w:tcW w:w="1597" w:type="dxa"/>
            <w:noWrap w:val="0"/>
            <w:vAlign w:val="center"/>
          </w:tcPr>
          <w:p w14:paraId="17749724">
            <w:pPr>
              <w:pStyle w:val="16"/>
              <w:spacing w:line="600" w:lineRule="exact"/>
              <w:jc w:val="center"/>
              <w:rPr>
                <w:rFonts w:hint="eastAsia"/>
                <w:color w:val="000000"/>
                <w:kern w:val="2"/>
                <w:szCs w:val="24"/>
                <w:highlight w:val="none"/>
              </w:rPr>
            </w:pPr>
          </w:p>
        </w:tc>
        <w:tc>
          <w:tcPr>
            <w:tcW w:w="1597" w:type="dxa"/>
            <w:noWrap w:val="0"/>
            <w:vAlign w:val="center"/>
          </w:tcPr>
          <w:p w14:paraId="324A653E">
            <w:pPr>
              <w:pStyle w:val="16"/>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6"/>
              <w:spacing w:line="600" w:lineRule="exact"/>
              <w:rPr>
                <w:rFonts w:hint="eastAsia"/>
                <w:color w:val="000000"/>
                <w:kern w:val="2"/>
                <w:szCs w:val="24"/>
                <w:highlight w:val="none"/>
              </w:rPr>
            </w:pPr>
          </w:p>
        </w:tc>
        <w:tc>
          <w:tcPr>
            <w:tcW w:w="1771" w:type="dxa"/>
            <w:noWrap w:val="0"/>
            <w:vAlign w:val="top"/>
          </w:tcPr>
          <w:p w14:paraId="00168F59">
            <w:pPr>
              <w:pStyle w:val="16"/>
              <w:spacing w:line="600" w:lineRule="exact"/>
              <w:rPr>
                <w:rFonts w:hint="eastAsia"/>
                <w:color w:val="000000"/>
                <w:kern w:val="2"/>
                <w:szCs w:val="24"/>
                <w:highlight w:val="none"/>
              </w:rPr>
            </w:pPr>
          </w:p>
        </w:tc>
        <w:tc>
          <w:tcPr>
            <w:tcW w:w="1802" w:type="dxa"/>
            <w:noWrap w:val="0"/>
            <w:vAlign w:val="top"/>
          </w:tcPr>
          <w:p w14:paraId="5EDAF9B1">
            <w:pPr>
              <w:pStyle w:val="16"/>
              <w:spacing w:line="600" w:lineRule="exact"/>
              <w:rPr>
                <w:rFonts w:hint="eastAsia"/>
                <w:color w:val="000000"/>
                <w:kern w:val="2"/>
                <w:szCs w:val="24"/>
                <w:highlight w:val="none"/>
              </w:rPr>
            </w:pPr>
          </w:p>
        </w:tc>
        <w:tc>
          <w:tcPr>
            <w:tcW w:w="1597" w:type="dxa"/>
            <w:noWrap w:val="0"/>
            <w:vAlign w:val="top"/>
          </w:tcPr>
          <w:p w14:paraId="6C1FEF09">
            <w:pPr>
              <w:pStyle w:val="16"/>
              <w:spacing w:line="600" w:lineRule="exact"/>
              <w:rPr>
                <w:rFonts w:hint="eastAsia"/>
                <w:color w:val="000000"/>
                <w:kern w:val="2"/>
                <w:szCs w:val="24"/>
                <w:highlight w:val="none"/>
              </w:rPr>
            </w:pPr>
          </w:p>
        </w:tc>
        <w:tc>
          <w:tcPr>
            <w:tcW w:w="1597" w:type="dxa"/>
            <w:noWrap w:val="0"/>
            <w:vAlign w:val="top"/>
          </w:tcPr>
          <w:p w14:paraId="70B1255C">
            <w:pPr>
              <w:pStyle w:val="16"/>
              <w:spacing w:line="600" w:lineRule="exact"/>
              <w:rPr>
                <w:rFonts w:hint="eastAsia"/>
                <w:color w:val="000000"/>
                <w:kern w:val="2"/>
                <w:szCs w:val="24"/>
                <w:highlight w:val="none"/>
              </w:rPr>
            </w:pPr>
          </w:p>
        </w:tc>
        <w:tc>
          <w:tcPr>
            <w:tcW w:w="1597" w:type="dxa"/>
            <w:noWrap w:val="0"/>
            <w:vAlign w:val="top"/>
          </w:tcPr>
          <w:p w14:paraId="785CE9CE">
            <w:pPr>
              <w:pStyle w:val="16"/>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6"/>
              <w:spacing w:line="600" w:lineRule="exact"/>
              <w:rPr>
                <w:rFonts w:hint="eastAsia"/>
                <w:color w:val="000000"/>
                <w:kern w:val="2"/>
                <w:szCs w:val="24"/>
                <w:highlight w:val="none"/>
              </w:rPr>
            </w:pPr>
          </w:p>
        </w:tc>
        <w:tc>
          <w:tcPr>
            <w:tcW w:w="1771" w:type="dxa"/>
            <w:noWrap w:val="0"/>
            <w:vAlign w:val="top"/>
          </w:tcPr>
          <w:p w14:paraId="6D58031D">
            <w:pPr>
              <w:pStyle w:val="16"/>
              <w:spacing w:line="600" w:lineRule="exact"/>
              <w:rPr>
                <w:rFonts w:hint="eastAsia"/>
                <w:color w:val="000000"/>
                <w:kern w:val="2"/>
                <w:szCs w:val="24"/>
                <w:highlight w:val="none"/>
              </w:rPr>
            </w:pPr>
          </w:p>
        </w:tc>
        <w:tc>
          <w:tcPr>
            <w:tcW w:w="1802" w:type="dxa"/>
            <w:noWrap w:val="0"/>
            <w:vAlign w:val="top"/>
          </w:tcPr>
          <w:p w14:paraId="3CEDE25E">
            <w:pPr>
              <w:pStyle w:val="16"/>
              <w:spacing w:line="600" w:lineRule="exact"/>
              <w:rPr>
                <w:rFonts w:hint="eastAsia"/>
                <w:color w:val="000000"/>
                <w:kern w:val="2"/>
                <w:szCs w:val="24"/>
                <w:highlight w:val="none"/>
              </w:rPr>
            </w:pPr>
          </w:p>
        </w:tc>
        <w:tc>
          <w:tcPr>
            <w:tcW w:w="1597" w:type="dxa"/>
            <w:noWrap w:val="0"/>
            <w:vAlign w:val="top"/>
          </w:tcPr>
          <w:p w14:paraId="324D3A1B">
            <w:pPr>
              <w:pStyle w:val="16"/>
              <w:spacing w:line="600" w:lineRule="exact"/>
              <w:rPr>
                <w:rFonts w:hint="eastAsia"/>
                <w:color w:val="000000"/>
                <w:kern w:val="2"/>
                <w:szCs w:val="24"/>
                <w:highlight w:val="none"/>
              </w:rPr>
            </w:pPr>
          </w:p>
        </w:tc>
        <w:tc>
          <w:tcPr>
            <w:tcW w:w="1597" w:type="dxa"/>
            <w:noWrap w:val="0"/>
            <w:vAlign w:val="top"/>
          </w:tcPr>
          <w:p w14:paraId="50FC3132">
            <w:pPr>
              <w:pStyle w:val="16"/>
              <w:spacing w:line="600" w:lineRule="exact"/>
              <w:rPr>
                <w:rFonts w:hint="eastAsia"/>
                <w:color w:val="000000"/>
                <w:kern w:val="2"/>
                <w:szCs w:val="24"/>
                <w:highlight w:val="none"/>
              </w:rPr>
            </w:pPr>
          </w:p>
        </w:tc>
        <w:tc>
          <w:tcPr>
            <w:tcW w:w="1597" w:type="dxa"/>
            <w:noWrap w:val="0"/>
            <w:vAlign w:val="top"/>
          </w:tcPr>
          <w:p w14:paraId="1DF96B99">
            <w:pPr>
              <w:pStyle w:val="16"/>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6"/>
              <w:spacing w:line="600" w:lineRule="exact"/>
              <w:rPr>
                <w:rFonts w:hint="eastAsia"/>
                <w:color w:val="000000"/>
                <w:kern w:val="2"/>
                <w:szCs w:val="24"/>
                <w:highlight w:val="none"/>
              </w:rPr>
            </w:pPr>
          </w:p>
        </w:tc>
        <w:tc>
          <w:tcPr>
            <w:tcW w:w="1771" w:type="dxa"/>
            <w:noWrap w:val="0"/>
            <w:vAlign w:val="top"/>
          </w:tcPr>
          <w:p w14:paraId="7953A931">
            <w:pPr>
              <w:pStyle w:val="16"/>
              <w:spacing w:line="600" w:lineRule="exact"/>
              <w:rPr>
                <w:rFonts w:hint="eastAsia"/>
                <w:color w:val="000000"/>
                <w:kern w:val="2"/>
                <w:szCs w:val="24"/>
                <w:highlight w:val="none"/>
              </w:rPr>
            </w:pPr>
          </w:p>
        </w:tc>
        <w:tc>
          <w:tcPr>
            <w:tcW w:w="1802" w:type="dxa"/>
            <w:noWrap w:val="0"/>
            <w:vAlign w:val="top"/>
          </w:tcPr>
          <w:p w14:paraId="21B5BECF">
            <w:pPr>
              <w:pStyle w:val="16"/>
              <w:spacing w:line="600" w:lineRule="exact"/>
              <w:rPr>
                <w:rFonts w:hint="eastAsia"/>
                <w:color w:val="000000"/>
                <w:kern w:val="2"/>
                <w:szCs w:val="24"/>
                <w:highlight w:val="none"/>
              </w:rPr>
            </w:pPr>
          </w:p>
        </w:tc>
        <w:tc>
          <w:tcPr>
            <w:tcW w:w="1597" w:type="dxa"/>
            <w:noWrap w:val="0"/>
            <w:vAlign w:val="top"/>
          </w:tcPr>
          <w:p w14:paraId="375B1BFD">
            <w:pPr>
              <w:pStyle w:val="16"/>
              <w:spacing w:line="600" w:lineRule="exact"/>
              <w:rPr>
                <w:rFonts w:hint="eastAsia"/>
                <w:color w:val="000000"/>
                <w:kern w:val="2"/>
                <w:szCs w:val="24"/>
                <w:highlight w:val="none"/>
              </w:rPr>
            </w:pPr>
          </w:p>
        </w:tc>
        <w:tc>
          <w:tcPr>
            <w:tcW w:w="1597" w:type="dxa"/>
            <w:noWrap w:val="0"/>
            <w:vAlign w:val="top"/>
          </w:tcPr>
          <w:p w14:paraId="24ED7467">
            <w:pPr>
              <w:pStyle w:val="16"/>
              <w:spacing w:line="600" w:lineRule="exact"/>
              <w:rPr>
                <w:rFonts w:hint="eastAsia"/>
                <w:color w:val="000000"/>
                <w:kern w:val="2"/>
                <w:szCs w:val="24"/>
                <w:highlight w:val="none"/>
              </w:rPr>
            </w:pPr>
          </w:p>
        </w:tc>
        <w:tc>
          <w:tcPr>
            <w:tcW w:w="1597" w:type="dxa"/>
            <w:noWrap w:val="0"/>
            <w:vAlign w:val="top"/>
          </w:tcPr>
          <w:p w14:paraId="53F43D3C">
            <w:pPr>
              <w:pStyle w:val="16"/>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6"/>
              <w:spacing w:line="600" w:lineRule="exact"/>
              <w:rPr>
                <w:rFonts w:hint="eastAsia"/>
                <w:color w:val="000000"/>
                <w:kern w:val="2"/>
                <w:szCs w:val="24"/>
                <w:highlight w:val="none"/>
              </w:rPr>
            </w:pPr>
          </w:p>
        </w:tc>
        <w:tc>
          <w:tcPr>
            <w:tcW w:w="1771" w:type="dxa"/>
            <w:noWrap w:val="0"/>
            <w:vAlign w:val="top"/>
          </w:tcPr>
          <w:p w14:paraId="0A79B471">
            <w:pPr>
              <w:pStyle w:val="16"/>
              <w:spacing w:line="600" w:lineRule="exact"/>
              <w:rPr>
                <w:rFonts w:hint="eastAsia"/>
                <w:color w:val="000000"/>
                <w:kern w:val="2"/>
                <w:szCs w:val="24"/>
                <w:highlight w:val="none"/>
              </w:rPr>
            </w:pPr>
          </w:p>
        </w:tc>
        <w:tc>
          <w:tcPr>
            <w:tcW w:w="1802" w:type="dxa"/>
            <w:noWrap w:val="0"/>
            <w:vAlign w:val="top"/>
          </w:tcPr>
          <w:p w14:paraId="7CB8CC76">
            <w:pPr>
              <w:pStyle w:val="16"/>
              <w:spacing w:line="600" w:lineRule="exact"/>
              <w:rPr>
                <w:rFonts w:hint="eastAsia"/>
                <w:color w:val="000000"/>
                <w:kern w:val="2"/>
                <w:szCs w:val="24"/>
                <w:highlight w:val="none"/>
              </w:rPr>
            </w:pPr>
          </w:p>
        </w:tc>
        <w:tc>
          <w:tcPr>
            <w:tcW w:w="1597" w:type="dxa"/>
            <w:noWrap w:val="0"/>
            <w:vAlign w:val="top"/>
          </w:tcPr>
          <w:p w14:paraId="723CE512">
            <w:pPr>
              <w:pStyle w:val="16"/>
              <w:spacing w:line="600" w:lineRule="exact"/>
              <w:rPr>
                <w:rFonts w:hint="eastAsia"/>
                <w:color w:val="000000"/>
                <w:kern w:val="2"/>
                <w:szCs w:val="24"/>
                <w:highlight w:val="none"/>
              </w:rPr>
            </w:pPr>
          </w:p>
        </w:tc>
        <w:tc>
          <w:tcPr>
            <w:tcW w:w="1597" w:type="dxa"/>
            <w:noWrap w:val="0"/>
            <w:vAlign w:val="top"/>
          </w:tcPr>
          <w:p w14:paraId="58EB5160">
            <w:pPr>
              <w:pStyle w:val="16"/>
              <w:spacing w:line="600" w:lineRule="exact"/>
              <w:rPr>
                <w:rFonts w:hint="eastAsia"/>
                <w:color w:val="000000"/>
                <w:kern w:val="2"/>
                <w:szCs w:val="24"/>
                <w:highlight w:val="none"/>
              </w:rPr>
            </w:pPr>
          </w:p>
        </w:tc>
        <w:tc>
          <w:tcPr>
            <w:tcW w:w="1597" w:type="dxa"/>
            <w:noWrap w:val="0"/>
            <w:vAlign w:val="top"/>
          </w:tcPr>
          <w:p w14:paraId="61DDFB0C">
            <w:pPr>
              <w:pStyle w:val="16"/>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6"/>
              <w:spacing w:line="600" w:lineRule="exact"/>
              <w:rPr>
                <w:rFonts w:hint="eastAsia"/>
                <w:color w:val="000000"/>
                <w:kern w:val="2"/>
                <w:szCs w:val="24"/>
                <w:highlight w:val="none"/>
              </w:rPr>
            </w:pPr>
          </w:p>
        </w:tc>
        <w:tc>
          <w:tcPr>
            <w:tcW w:w="1771" w:type="dxa"/>
            <w:noWrap w:val="0"/>
            <w:vAlign w:val="top"/>
          </w:tcPr>
          <w:p w14:paraId="0CDB5ADE">
            <w:pPr>
              <w:pStyle w:val="16"/>
              <w:spacing w:line="600" w:lineRule="exact"/>
              <w:rPr>
                <w:rFonts w:hint="eastAsia"/>
                <w:color w:val="000000"/>
                <w:kern w:val="2"/>
                <w:szCs w:val="24"/>
                <w:highlight w:val="none"/>
              </w:rPr>
            </w:pPr>
          </w:p>
        </w:tc>
        <w:tc>
          <w:tcPr>
            <w:tcW w:w="1802" w:type="dxa"/>
            <w:noWrap w:val="0"/>
            <w:vAlign w:val="top"/>
          </w:tcPr>
          <w:p w14:paraId="0F395F54">
            <w:pPr>
              <w:pStyle w:val="16"/>
              <w:spacing w:line="600" w:lineRule="exact"/>
              <w:rPr>
                <w:rFonts w:hint="eastAsia"/>
                <w:color w:val="000000"/>
                <w:kern w:val="2"/>
                <w:szCs w:val="24"/>
                <w:highlight w:val="none"/>
              </w:rPr>
            </w:pPr>
          </w:p>
        </w:tc>
        <w:tc>
          <w:tcPr>
            <w:tcW w:w="1597" w:type="dxa"/>
            <w:noWrap w:val="0"/>
            <w:vAlign w:val="top"/>
          </w:tcPr>
          <w:p w14:paraId="5E56A0FD">
            <w:pPr>
              <w:pStyle w:val="16"/>
              <w:spacing w:line="600" w:lineRule="exact"/>
              <w:rPr>
                <w:rFonts w:hint="eastAsia"/>
                <w:color w:val="000000"/>
                <w:kern w:val="2"/>
                <w:szCs w:val="24"/>
                <w:highlight w:val="none"/>
              </w:rPr>
            </w:pPr>
          </w:p>
        </w:tc>
        <w:tc>
          <w:tcPr>
            <w:tcW w:w="1597" w:type="dxa"/>
            <w:noWrap w:val="0"/>
            <w:vAlign w:val="top"/>
          </w:tcPr>
          <w:p w14:paraId="1DE978E4">
            <w:pPr>
              <w:pStyle w:val="16"/>
              <w:spacing w:line="600" w:lineRule="exact"/>
              <w:rPr>
                <w:rFonts w:hint="eastAsia"/>
                <w:color w:val="000000"/>
                <w:kern w:val="2"/>
                <w:szCs w:val="24"/>
                <w:highlight w:val="none"/>
              </w:rPr>
            </w:pPr>
          </w:p>
        </w:tc>
        <w:tc>
          <w:tcPr>
            <w:tcW w:w="1597" w:type="dxa"/>
            <w:noWrap w:val="0"/>
            <w:vAlign w:val="top"/>
          </w:tcPr>
          <w:p w14:paraId="243F63A7">
            <w:pPr>
              <w:pStyle w:val="16"/>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6"/>
              <w:spacing w:line="600" w:lineRule="exact"/>
              <w:rPr>
                <w:rFonts w:hint="eastAsia"/>
                <w:color w:val="000000"/>
                <w:kern w:val="2"/>
                <w:szCs w:val="24"/>
                <w:highlight w:val="none"/>
              </w:rPr>
            </w:pPr>
          </w:p>
        </w:tc>
        <w:tc>
          <w:tcPr>
            <w:tcW w:w="1771" w:type="dxa"/>
            <w:noWrap w:val="0"/>
            <w:vAlign w:val="top"/>
          </w:tcPr>
          <w:p w14:paraId="7D622053">
            <w:pPr>
              <w:pStyle w:val="16"/>
              <w:spacing w:line="600" w:lineRule="exact"/>
              <w:rPr>
                <w:rFonts w:hint="eastAsia"/>
                <w:color w:val="000000"/>
                <w:kern w:val="2"/>
                <w:szCs w:val="24"/>
                <w:highlight w:val="none"/>
              </w:rPr>
            </w:pPr>
          </w:p>
        </w:tc>
        <w:tc>
          <w:tcPr>
            <w:tcW w:w="1802" w:type="dxa"/>
            <w:noWrap w:val="0"/>
            <w:vAlign w:val="top"/>
          </w:tcPr>
          <w:p w14:paraId="5E79A2B5">
            <w:pPr>
              <w:pStyle w:val="16"/>
              <w:spacing w:line="600" w:lineRule="exact"/>
              <w:rPr>
                <w:rFonts w:hint="eastAsia"/>
                <w:color w:val="000000"/>
                <w:kern w:val="2"/>
                <w:szCs w:val="24"/>
                <w:highlight w:val="none"/>
              </w:rPr>
            </w:pPr>
          </w:p>
        </w:tc>
        <w:tc>
          <w:tcPr>
            <w:tcW w:w="1597" w:type="dxa"/>
            <w:noWrap w:val="0"/>
            <w:vAlign w:val="top"/>
          </w:tcPr>
          <w:p w14:paraId="6ED52839">
            <w:pPr>
              <w:pStyle w:val="16"/>
              <w:spacing w:line="600" w:lineRule="exact"/>
              <w:rPr>
                <w:rFonts w:hint="eastAsia"/>
                <w:color w:val="000000"/>
                <w:kern w:val="2"/>
                <w:szCs w:val="24"/>
                <w:highlight w:val="none"/>
              </w:rPr>
            </w:pPr>
          </w:p>
        </w:tc>
        <w:tc>
          <w:tcPr>
            <w:tcW w:w="1597" w:type="dxa"/>
            <w:noWrap w:val="0"/>
            <w:vAlign w:val="top"/>
          </w:tcPr>
          <w:p w14:paraId="317068A0">
            <w:pPr>
              <w:pStyle w:val="16"/>
              <w:spacing w:line="600" w:lineRule="exact"/>
              <w:rPr>
                <w:rFonts w:hint="eastAsia"/>
                <w:color w:val="000000"/>
                <w:kern w:val="2"/>
                <w:szCs w:val="24"/>
                <w:highlight w:val="none"/>
              </w:rPr>
            </w:pPr>
          </w:p>
        </w:tc>
        <w:tc>
          <w:tcPr>
            <w:tcW w:w="1597" w:type="dxa"/>
            <w:noWrap w:val="0"/>
            <w:vAlign w:val="top"/>
          </w:tcPr>
          <w:p w14:paraId="5728566C">
            <w:pPr>
              <w:pStyle w:val="16"/>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6"/>
              <w:spacing w:line="600" w:lineRule="exact"/>
              <w:rPr>
                <w:rFonts w:hint="eastAsia"/>
                <w:color w:val="000000"/>
                <w:kern w:val="2"/>
                <w:szCs w:val="24"/>
                <w:highlight w:val="none"/>
              </w:rPr>
            </w:pPr>
          </w:p>
        </w:tc>
        <w:tc>
          <w:tcPr>
            <w:tcW w:w="1771" w:type="dxa"/>
            <w:noWrap w:val="0"/>
            <w:vAlign w:val="top"/>
          </w:tcPr>
          <w:p w14:paraId="2F616B57">
            <w:pPr>
              <w:pStyle w:val="16"/>
              <w:spacing w:line="600" w:lineRule="exact"/>
              <w:rPr>
                <w:rFonts w:hint="eastAsia"/>
                <w:color w:val="000000"/>
                <w:kern w:val="2"/>
                <w:szCs w:val="24"/>
                <w:highlight w:val="none"/>
              </w:rPr>
            </w:pPr>
          </w:p>
        </w:tc>
        <w:tc>
          <w:tcPr>
            <w:tcW w:w="1802" w:type="dxa"/>
            <w:noWrap w:val="0"/>
            <w:vAlign w:val="top"/>
          </w:tcPr>
          <w:p w14:paraId="1CB398AF">
            <w:pPr>
              <w:pStyle w:val="16"/>
              <w:spacing w:line="600" w:lineRule="exact"/>
              <w:rPr>
                <w:rFonts w:hint="eastAsia"/>
                <w:color w:val="000000"/>
                <w:kern w:val="2"/>
                <w:szCs w:val="24"/>
                <w:highlight w:val="none"/>
              </w:rPr>
            </w:pPr>
          </w:p>
        </w:tc>
        <w:tc>
          <w:tcPr>
            <w:tcW w:w="1597" w:type="dxa"/>
            <w:noWrap w:val="0"/>
            <w:vAlign w:val="top"/>
          </w:tcPr>
          <w:p w14:paraId="558AB703">
            <w:pPr>
              <w:pStyle w:val="16"/>
              <w:spacing w:line="600" w:lineRule="exact"/>
              <w:rPr>
                <w:rFonts w:hint="eastAsia"/>
                <w:color w:val="000000"/>
                <w:kern w:val="2"/>
                <w:szCs w:val="24"/>
                <w:highlight w:val="none"/>
              </w:rPr>
            </w:pPr>
          </w:p>
        </w:tc>
        <w:tc>
          <w:tcPr>
            <w:tcW w:w="1597" w:type="dxa"/>
            <w:noWrap w:val="0"/>
            <w:vAlign w:val="top"/>
          </w:tcPr>
          <w:p w14:paraId="1DDC73DD">
            <w:pPr>
              <w:pStyle w:val="16"/>
              <w:spacing w:line="600" w:lineRule="exact"/>
              <w:rPr>
                <w:rFonts w:hint="eastAsia"/>
                <w:color w:val="000000"/>
                <w:kern w:val="2"/>
                <w:szCs w:val="24"/>
                <w:highlight w:val="none"/>
              </w:rPr>
            </w:pPr>
          </w:p>
        </w:tc>
        <w:tc>
          <w:tcPr>
            <w:tcW w:w="1597" w:type="dxa"/>
            <w:noWrap w:val="0"/>
            <w:vAlign w:val="top"/>
          </w:tcPr>
          <w:p w14:paraId="502AC625">
            <w:pPr>
              <w:pStyle w:val="16"/>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10"/>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6"/>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1"/>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1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1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10"/>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10"/>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注：请参选人认真填写银行信息，并要求与银行转账凭证的相关信息一致辞，招标代理机构将依据此凭证信息退还参选保证金。</w:t>
      </w:r>
    </w:p>
    <w:p w14:paraId="34273518">
      <w:pPr>
        <w:pStyle w:val="16"/>
        <w:jc w:val="right"/>
        <w:rPr>
          <w:rFonts w:hint="eastAsia" w:hAnsi="宋体" w:cs="宋体"/>
          <w:sz w:val="24"/>
          <w:highlight w:val="none"/>
        </w:rPr>
      </w:pPr>
    </w:p>
    <w:p w14:paraId="739A65E4">
      <w:pPr>
        <w:pStyle w:val="16"/>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6"/>
        <w:jc w:val="right"/>
        <w:rPr>
          <w:rFonts w:hint="eastAsia" w:hAnsi="宋体" w:cs="宋体"/>
          <w:sz w:val="24"/>
          <w:highlight w:val="none"/>
        </w:rPr>
      </w:pPr>
      <w:r>
        <w:rPr>
          <w:rFonts w:hint="eastAsia" w:hAnsi="宋体" w:cs="宋体"/>
          <w:sz w:val="24"/>
          <w:highlight w:val="none"/>
        </w:rPr>
        <w:t xml:space="preserve">           </w:t>
      </w:r>
    </w:p>
    <w:p w14:paraId="06778BB7">
      <w:pPr>
        <w:pStyle w:val="16"/>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6"/>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1"/>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ageBreakBefore w:val="0"/>
        <w:kinsoku/>
        <w:overflowPunct/>
        <w:topLinePunct w:val="0"/>
        <w:bidi w:val="0"/>
        <w:jc w:val="both"/>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ageBreakBefore w:val="0"/>
        <w:kinsoku/>
        <w:overflowPunct/>
        <w:topLinePunct w:val="0"/>
        <w:bidi w:val="0"/>
        <w:ind w:firstLine="480" w:firstLineChars="200"/>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7DF10A97">
      <w:pPr>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br w:type="page"/>
      </w:r>
    </w:p>
    <w:p w14:paraId="4D300537">
      <w:pPr>
        <w:pageBreakBefore w:val="0"/>
        <w:kinsoku/>
        <w:overflowPunct/>
        <w:topLinePunct w:val="0"/>
        <w:bidi w:val="0"/>
        <w:spacing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6"/>
        <w:pageBreakBefore w:val="0"/>
        <w:kinsoku/>
        <w:overflowPunct/>
        <w:topLinePunct w:val="0"/>
        <w:bidi w:val="0"/>
        <w:jc w:val="center"/>
        <w:rPr>
          <w:rFonts w:hint="eastAsia" w:ascii="宋体" w:hAnsi="宋体" w:eastAsia="宋体" w:cs="宋体"/>
          <w:color w:val="auto"/>
          <w:sz w:val="24"/>
          <w:highlight w:val="none"/>
        </w:rPr>
      </w:pPr>
    </w:p>
    <w:p w14:paraId="4AC065A2">
      <w:pPr>
        <w:pStyle w:val="16"/>
        <w:pageBreakBefore w:val="0"/>
        <w:kinsoku/>
        <w:overflowPunct/>
        <w:topLinePunct w:val="0"/>
        <w:bidi w:val="0"/>
        <w:jc w:val="center"/>
        <w:rPr>
          <w:rFonts w:hint="eastAsia" w:ascii="宋体" w:hAnsi="宋体" w:eastAsia="宋体" w:cs="宋体"/>
          <w:color w:val="auto"/>
          <w:sz w:val="24"/>
          <w:highlight w:val="none"/>
        </w:rPr>
      </w:pPr>
    </w:p>
    <w:p w14:paraId="77BBF060">
      <w:pPr>
        <w:pStyle w:val="16"/>
        <w:pageBreakBefore w:val="0"/>
        <w:kinsoku/>
        <w:overflowPunct/>
        <w:topLinePunct w:val="0"/>
        <w:bidi w:val="0"/>
        <w:jc w:val="center"/>
        <w:rPr>
          <w:rFonts w:hint="eastAsia" w:ascii="宋体" w:hAnsi="宋体" w:eastAsia="宋体" w:cs="宋体"/>
          <w:color w:val="auto"/>
          <w:sz w:val="24"/>
          <w:highlight w:val="none"/>
        </w:rPr>
      </w:pPr>
    </w:p>
    <w:p w14:paraId="041CB88A">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1"/>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6"/>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9"/>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2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E6425"/>
    <w:rsid w:val="06BF609C"/>
    <w:rsid w:val="07064F2D"/>
    <w:rsid w:val="073A633E"/>
    <w:rsid w:val="074F1D9A"/>
    <w:rsid w:val="076C56D4"/>
    <w:rsid w:val="078A2E29"/>
    <w:rsid w:val="079E317F"/>
    <w:rsid w:val="07DC63DC"/>
    <w:rsid w:val="07EB02CF"/>
    <w:rsid w:val="081D3768"/>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8F7BB1"/>
    <w:rsid w:val="1BCC0565"/>
    <w:rsid w:val="1BCE006D"/>
    <w:rsid w:val="1C2D6F1E"/>
    <w:rsid w:val="1D0B4383"/>
    <w:rsid w:val="1D5A13F5"/>
    <w:rsid w:val="1D820805"/>
    <w:rsid w:val="1D9C7CD3"/>
    <w:rsid w:val="1DD90149"/>
    <w:rsid w:val="1E522E75"/>
    <w:rsid w:val="1E546BED"/>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B03B5D"/>
    <w:rsid w:val="24D008B2"/>
    <w:rsid w:val="251B66B7"/>
    <w:rsid w:val="252235A1"/>
    <w:rsid w:val="255D6CCF"/>
    <w:rsid w:val="256A5140"/>
    <w:rsid w:val="256B4CE2"/>
    <w:rsid w:val="257D276E"/>
    <w:rsid w:val="25AB06FB"/>
    <w:rsid w:val="25AB17E9"/>
    <w:rsid w:val="25B5528E"/>
    <w:rsid w:val="25BD003C"/>
    <w:rsid w:val="25D915E7"/>
    <w:rsid w:val="25E1345C"/>
    <w:rsid w:val="25EC3819"/>
    <w:rsid w:val="25F71888"/>
    <w:rsid w:val="260B429B"/>
    <w:rsid w:val="26155B33"/>
    <w:rsid w:val="26480D97"/>
    <w:rsid w:val="264B4300"/>
    <w:rsid w:val="26633E71"/>
    <w:rsid w:val="268902FF"/>
    <w:rsid w:val="26953CD5"/>
    <w:rsid w:val="26BA640F"/>
    <w:rsid w:val="26DD4939"/>
    <w:rsid w:val="275A6E86"/>
    <w:rsid w:val="277B343D"/>
    <w:rsid w:val="278C564A"/>
    <w:rsid w:val="27C60E05"/>
    <w:rsid w:val="27F82CDF"/>
    <w:rsid w:val="281726D9"/>
    <w:rsid w:val="284535C9"/>
    <w:rsid w:val="28667D5D"/>
    <w:rsid w:val="28CE7FF3"/>
    <w:rsid w:val="290E5610"/>
    <w:rsid w:val="2916166F"/>
    <w:rsid w:val="29387837"/>
    <w:rsid w:val="29647755"/>
    <w:rsid w:val="2979501E"/>
    <w:rsid w:val="2A020CD7"/>
    <w:rsid w:val="2A4047AF"/>
    <w:rsid w:val="2A443FBA"/>
    <w:rsid w:val="2A4508C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E75388"/>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67B96"/>
    <w:rsid w:val="349210B6"/>
    <w:rsid w:val="34C122AF"/>
    <w:rsid w:val="34EF1477"/>
    <w:rsid w:val="3500579E"/>
    <w:rsid w:val="35246EC1"/>
    <w:rsid w:val="353C10D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8E2847"/>
    <w:rsid w:val="38D93765"/>
    <w:rsid w:val="392A3529"/>
    <w:rsid w:val="392D0AE9"/>
    <w:rsid w:val="395F0D0D"/>
    <w:rsid w:val="39856509"/>
    <w:rsid w:val="39966CA5"/>
    <w:rsid w:val="39AD233E"/>
    <w:rsid w:val="3A1669C2"/>
    <w:rsid w:val="3A34785C"/>
    <w:rsid w:val="3A4418D3"/>
    <w:rsid w:val="3A8C1EEB"/>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EF452D"/>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D0B5434"/>
    <w:rsid w:val="4D4B0259"/>
    <w:rsid w:val="4D4B54DB"/>
    <w:rsid w:val="4D534466"/>
    <w:rsid w:val="4D650B7E"/>
    <w:rsid w:val="4D7273AC"/>
    <w:rsid w:val="4D796C37"/>
    <w:rsid w:val="4D986FCA"/>
    <w:rsid w:val="4DC17938"/>
    <w:rsid w:val="4DD73A7D"/>
    <w:rsid w:val="4E1554B5"/>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E930DF"/>
    <w:rsid w:val="595B6AA6"/>
    <w:rsid w:val="5972035B"/>
    <w:rsid w:val="598F49A2"/>
    <w:rsid w:val="59C103A5"/>
    <w:rsid w:val="59FF6B39"/>
    <w:rsid w:val="5A660D4E"/>
    <w:rsid w:val="5A817B0D"/>
    <w:rsid w:val="5A8262B5"/>
    <w:rsid w:val="5AA24261"/>
    <w:rsid w:val="5AAB323C"/>
    <w:rsid w:val="5AE623A0"/>
    <w:rsid w:val="5B3809A4"/>
    <w:rsid w:val="5B445318"/>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7B69DC"/>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677795"/>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215CE"/>
    <w:rsid w:val="73141F2D"/>
    <w:rsid w:val="73264A06"/>
    <w:rsid w:val="732F3B04"/>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2A6CE0"/>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9E513B"/>
    <w:rsid w:val="7BDB197F"/>
    <w:rsid w:val="7BF12528"/>
    <w:rsid w:val="7C064C5E"/>
    <w:rsid w:val="7C8762D5"/>
    <w:rsid w:val="7CA61FEA"/>
    <w:rsid w:val="7CCC5FA1"/>
    <w:rsid w:val="7CED1322"/>
    <w:rsid w:val="7CEF6848"/>
    <w:rsid w:val="7D010F82"/>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annotation text"/>
    <w:basedOn w:val="1"/>
    <w:qFormat/>
    <w:uiPriority w:val="99"/>
    <w:pPr>
      <w:jc w:val="left"/>
    </w:pPr>
    <w:rPr>
      <w:kern w:val="0"/>
    </w:rPr>
  </w:style>
  <w:style w:type="paragraph" w:styleId="10">
    <w:name w:val="Body Text"/>
    <w:basedOn w:val="1"/>
    <w:next w:val="11"/>
    <w:qFormat/>
    <w:uiPriority w:val="99"/>
    <w:pPr>
      <w:spacing w:after="120"/>
    </w:pPr>
    <w:rPr>
      <w:kern w:val="0"/>
    </w:rPr>
  </w:style>
  <w:style w:type="paragraph" w:styleId="1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2">
    <w:name w:val="Body Text Indent"/>
    <w:basedOn w:val="1"/>
    <w:next w:val="13"/>
    <w:qFormat/>
    <w:uiPriority w:val="0"/>
    <w:rPr>
      <w:kern w:val="0"/>
      <w:sz w:val="24"/>
    </w:rPr>
  </w:style>
  <w:style w:type="paragraph" w:styleId="13">
    <w:name w:val="envelope return"/>
    <w:basedOn w:val="1"/>
    <w:next w:val="7"/>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10"/>
    <w:next w:val="1"/>
    <w:qFormat/>
    <w:uiPriority w:val="99"/>
    <w:pPr>
      <w:ind w:firstLine="420"/>
    </w:pPr>
    <w:rPr>
      <w:szCs w:val="28"/>
    </w:rPr>
  </w:style>
  <w:style w:type="paragraph" w:styleId="26">
    <w:name w:val="Body Text First Indent 2"/>
    <w:basedOn w:val="12"/>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7"/>
    <w:qFormat/>
    <w:uiPriority w:val="0"/>
    <w:rPr>
      <w:kern w:val="2"/>
      <w:sz w:val="21"/>
      <w:szCs w:val="24"/>
    </w:rPr>
  </w:style>
  <w:style w:type="character" w:customStyle="1" w:styleId="45">
    <w:name w:val="批注框文本 Char"/>
    <w:basedOn w:val="29"/>
    <w:link w:val="18"/>
    <w:qFormat/>
    <w:uiPriority w:val="0"/>
    <w:rPr>
      <w:kern w:val="2"/>
      <w:sz w:val="18"/>
      <w:szCs w:val="18"/>
    </w:rPr>
  </w:style>
  <w:style w:type="character" w:customStyle="1" w:styleId="46">
    <w:name w:val="页脚 Char"/>
    <w:basedOn w:val="29"/>
    <w:link w:val="19"/>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39</Pages>
  <Words>12390</Words>
  <Characters>13423</Characters>
  <Lines>190</Lines>
  <Paragraphs>53</Paragraphs>
  <TotalTime>9</TotalTime>
  <ScaleCrop>false</ScaleCrop>
  <LinksUpToDate>false</LinksUpToDate>
  <CharactersWithSpaces>15625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2025-05-15T06:54:00Z</cp:lastPrinted>
  <dcterms:modified xsi:type="dcterms:W3CDTF">2025-10-13T08:29:24Z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