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红谷滩区积水点整治工程-机械</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ZSGC2025CG030</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十</w:t>
      </w:r>
      <w:r>
        <w:rPr>
          <w:rFonts w:hint="eastAsia" w:ascii="宋体" w:hAnsi="宋体" w:cs="宋体"/>
          <w:b/>
          <w:color w:val="auto"/>
          <w:sz w:val="36"/>
          <w:highlight w:val="none"/>
          <w:lang w:val="en-US" w:eastAsia="zh-CN"/>
        </w:rPr>
        <w:t>二</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b/>
        </w:rPr>
        <w:t>错误！未定义书签。</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default"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bookmarkStart w:id="60" w:name="_GoBack"/>
      <w:bookmarkEnd w:id="60"/>
    </w:p>
    <w:p w14:paraId="22FEE8FD">
      <w:pPr>
        <w:pStyle w:val="46"/>
        <w:pageBreakBefore w:val="0"/>
        <w:kinsoku/>
        <w:overflowPunct/>
        <w:topLinePunct w:val="0"/>
        <w:bidi w:val="0"/>
        <w:rPr>
          <w:rFonts w:hint="eastAsia" w:ascii="宋体" w:hAnsi="宋体" w:eastAsia="宋体" w:cs="宋体"/>
          <w:color w:val="auto"/>
          <w:szCs w:val="28"/>
          <w:highlight w:val="none"/>
        </w:rPr>
      </w:pPr>
    </w:p>
    <w:p w14:paraId="089E9EE3">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红谷滩区积水点整治工程-机械</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ZSGC2025CG030</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ZSGC2025CG030</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红谷滩区积水点整治工程-机械</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825500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C95BE4B">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1645A686">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482E0BD8">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9C4206D">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2C7081B1">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63093D38">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0AF78C05">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7266CB1C">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4CDABC3B">
      <w:pPr>
        <w:pStyle w:val="2"/>
        <w:rPr>
          <w:rFonts w:hint="eastAsia" w:ascii="宋体" w:hAnsi="宋体" w:eastAsia="宋体" w:cs="宋体"/>
          <w:color w:val="auto"/>
          <w:kern w:val="0"/>
          <w:sz w:val="24"/>
          <w:highlight w:val="none"/>
        </w:rPr>
      </w:pPr>
    </w:p>
    <w:p w14:paraId="61B8818B">
      <w:pPr>
        <w:rPr>
          <w:rFonts w:hint="eastAsia"/>
        </w:rPr>
      </w:pP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02E2F8E7">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红谷滩区积水点整治工程-机械</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ZSGC2025CG030</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捌仟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ZSGC2025CG030</w:t>
            </w:r>
            <w:r>
              <w:rPr>
                <w:rFonts w:hint="eastAsia" w:ascii="宋体" w:hAnsi="宋体" w:eastAsia="宋体" w:cs="宋体"/>
                <w:color w:val="auto"/>
                <w:sz w:val="24"/>
                <w:szCs w:val="24"/>
                <w:highlight w:val="none"/>
              </w:rPr>
              <w:t>”保证金，投标保证金需从</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人民币伍仟零伍拾陆元（¥5056元）</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24678925"/>
      <w:bookmarkStart w:id="4" w:name="_Toc17175"/>
      <w:bookmarkStart w:id="5" w:name="_Toc377982317"/>
      <w:bookmarkStart w:id="6" w:name="_Toc147282124"/>
      <w:bookmarkStart w:id="7" w:name="_Toc31761"/>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825500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r>
        <w:rPr>
          <w:rFonts w:hint="eastAsia" w:ascii="宋体" w:hAnsi="宋体" w:cs="宋体"/>
          <w:color w:val="auto"/>
          <w:sz w:val="24"/>
          <w:highlight w:val="none"/>
          <w:lang w:val="zh-CN"/>
        </w:rPr>
        <w:t>商务分</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56B5236C">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报价未超过比选文件中规定的招标控制价中的单价与总价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vMerge w:val="restart"/>
            <w:tcBorders>
              <w:top w:val="single" w:color="auto" w:sz="4" w:space="0"/>
              <w:left w:val="single" w:color="auto" w:sz="4" w:space="0"/>
              <w:right w:val="single" w:color="auto" w:sz="4" w:space="0"/>
            </w:tcBorders>
            <w:noWrap w:val="0"/>
            <w:vAlign w:val="center"/>
          </w:tcPr>
          <w:p w14:paraId="54149BE8">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40分</w:t>
            </w:r>
            <w:r>
              <w:rPr>
                <w:rFonts w:hint="eastAsia" w:ascii="宋体" w:hAnsi="宋体" w:eastAsia="宋体" w:cs="宋体"/>
                <w:color w:val="auto"/>
                <w:sz w:val="24"/>
                <w:szCs w:val="24"/>
                <w:highlight w:val="none"/>
                <w:lang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技术符合性评审（</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452A73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满足</w:t>
            </w:r>
            <w:r>
              <w:rPr>
                <w:rFonts w:hint="eastAsia" w:ascii="宋体" w:hAnsi="宋体"/>
                <w:color w:val="auto"/>
                <w:sz w:val="24"/>
                <w:szCs w:val="24"/>
                <w:highlight w:val="none"/>
                <w:lang w:eastAsia="zh-CN"/>
              </w:rPr>
              <w:t>参选文件</w:t>
            </w:r>
            <w:r>
              <w:rPr>
                <w:rFonts w:hint="eastAsia" w:ascii="宋体" w:hAnsi="宋体"/>
                <w:color w:val="auto"/>
                <w:sz w:val="24"/>
                <w:szCs w:val="24"/>
                <w:highlight w:val="none"/>
              </w:rPr>
              <w:t>技术规格要求的得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 分，有一项不满足作无效标处理。</w:t>
            </w:r>
          </w:p>
          <w:p w14:paraId="3CFC201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评审依据：</w:t>
            </w:r>
            <w:r>
              <w:rPr>
                <w:rFonts w:hint="eastAsia" w:ascii="宋体" w:hAnsi="宋体"/>
                <w:color w:val="auto"/>
                <w:sz w:val="24"/>
                <w:szCs w:val="24"/>
                <w:highlight w:val="none"/>
                <w:lang w:eastAsia="zh-CN"/>
              </w:rPr>
              <w:t>参选文件</w:t>
            </w:r>
            <w:r>
              <w:rPr>
                <w:rFonts w:hint="eastAsia" w:ascii="宋体" w:hAnsi="宋体"/>
                <w:color w:val="auto"/>
                <w:sz w:val="24"/>
                <w:szCs w:val="24"/>
                <w:highlight w:val="none"/>
              </w:rPr>
              <w:t>中的《技术要求响应、偏离表》。</w:t>
            </w:r>
          </w:p>
        </w:tc>
      </w:tr>
      <w:tr w14:paraId="19D2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vMerge w:val="continue"/>
            <w:tcBorders>
              <w:left w:val="single" w:color="auto" w:sz="4" w:space="0"/>
              <w:right w:val="single" w:color="auto" w:sz="4" w:space="0"/>
            </w:tcBorders>
            <w:noWrap w:val="0"/>
            <w:vAlign w:val="center"/>
          </w:tcPr>
          <w:p w14:paraId="31596B54">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微软雅黑" w:hAnsi="微软雅黑" w:eastAsia="微软雅黑" w:cs="微软雅黑"/>
                <w:bCs/>
                <w:sz w:val="24"/>
                <w:szCs w:val="24"/>
                <w:lang w:eastAsia="zh-CN"/>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C48C4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安全控制措施方案（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77B4CF5D">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w:t>
            </w:r>
            <w:r>
              <w:rPr>
                <w:rFonts w:hint="eastAsia" w:ascii="宋体" w:hAnsi="宋体" w:eastAsia="宋体"/>
                <w:color w:val="auto"/>
                <w:sz w:val="24"/>
                <w:szCs w:val="24"/>
                <w:highlight w:val="none"/>
                <w:lang w:eastAsia="zh-CN"/>
              </w:rPr>
              <w:t>参选人</w:t>
            </w:r>
            <w:r>
              <w:rPr>
                <w:rFonts w:hint="eastAsia" w:ascii="宋体" w:hAnsi="宋体" w:eastAsia="宋体"/>
                <w:color w:val="auto"/>
                <w:sz w:val="24"/>
                <w:szCs w:val="24"/>
                <w:highlight w:val="none"/>
              </w:rPr>
              <w:t>提供的安全控制措施方案</w:t>
            </w:r>
            <w:r>
              <w:rPr>
                <w:rFonts w:hint="eastAsia" w:ascii="宋体" w:hAnsi="宋体" w:eastAsia="宋体"/>
                <w:color w:val="auto"/>
                <w:sz w:val="24"/>
                <w:szCs w:val="24"/>
                <w:highlight w:val="none"/>
                <w:lang w:eastAsia="zh-CN"/>
              </w:rPr>
              <w:t>合理</w:t>
            </w:r>
            <w:r>
              <w:rPr>
                <w:rFonts w:hint="eastAsia" w:ascii="宋体" w:hAnsi="宋体" w:eastAsia="宋体"/>
                <w:color w:val="auto"/>
                <w:sz w:val="24"/>
                <w:szCs w:val="24"/>
                <w:highlight w:val="none"/>
              </w:rPr>
              <w:t>性、可行性进行综合评审，优的得</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分，良的得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分，一般的得</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分，未提供不得分。</w:t>
            </w:r>
          </w:p>
          <w:p w14:paraId="5FE41690">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eastAsia="宋体"/>
                <w:color w:val="auto"/>
                <w:sz w:val="24"/>
                <w:szCs w:val="24"/>
                <w:highlight w:val="none"/>
              </w:rPr>
              <w:t>评审依据：</w:t>
            </w:r>
            <w:r>
              <w:rPr>
                <w:rFonts w:hint="eastAsia" w:ascii="宋体" w:hAnsi="宋体" w:eastAsia="宋体"/>
                <w:color w:val="auto"/>
                <w:sz w:val="24"/>
                <w:szCs w:val="24"/>
                <w:highlight w:val="none"/>
                <w:lang w:eastAsia="zh-CN"/>
              </w:rPr>
              <w:t>参选文件</w:t>
            </w:r>
            <w:r>
              <w:rPr>
                <w:rFonts w:hint="eastAsia" w:ascii="宋体" w:hAnsi="宋体" w:eastAsia="宋体"/>
                <w:color w:val="auto"/>
                <w:sz w:val="24"/>
                <w:szCs w:val="24"/>
                <w:highlight w:val="none"/>
              </w:rPr>
              <w:t>中</w:t>
            </w:r>
            <w:r>
              <w:rPr>
                <w:rFonts w:hint="eastAsia" w:ascii="宋体" w:hAnsi="宋体" w:eastAsia="宋体"/>
                <w:color w:val="auto"/>
                <w:sz w:val="24"/>
                <w:szCs w:val="24"/>
                <w:highlight w:val="none"/>
                <w:lang w:eastAsia="zh-CN"/>
              </w:rPr>
              <w:t>提供的</w:t>
            </w:r>
            <w:r>
              <w:rPr>
                <w:rFonts w:hint="eastAsia" w:ascii="宋体" w:hAnsi="宋体" w:eastAsia="宋体"/>
                <w:color w:val="auto"/>
                <w:sz w:val="24"/>
                <w:szCs w:val="24"/>
                <w:highlight w:val="none"/>
              </w:rPr>
              <w:t>安全控制措施方案。</w:t>
            </w:r>
          </w:p>
        </w:tc>
      </w:tr>
      <w:tr w14:paraId="583B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vMerge w:val="continue"/>
            <w:tcBorders>
              <w:left w:val="single" w:color="auto" w:sz="4" w:space="0"/>
              <w:right w:val="single" w:color="auto" w:sz="4" w:space="0"/>
            </w:tcBorders>
            <w:noWrap w:val="0"/>
            <w:vAlign w:val="center"/>
          </w:tcPr>
          <w:p w14:paraId="3F183E60">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微软雅黑" w:hAnsi="微软雅黑" w:eastAsia="微软雅黑" w:cs="微软雅黑"/>
                <w:bCs/>
                <w:sz w:val="24"/>
                <w:szCs w:val="24"/>
                <w:lang w:eastAsia="zh-CN"/>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4B2A8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突发事件预定处理方案</w:t>
            </w:r>
          </w:p>
          <w:p w14:paraId="417FDFD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BEA2860">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w:t>
            </w:r>
            <w:r>
              <w:rPr>
                <w:rFonts w:hint="eastAsia" w:ascii="宋体" w:hAnsi="宋体" w:eastAsia="宋体"/>
                <w:color w:val="auto"/>
                <w:sz w:val="24"/>
                <w:szCs w:val="24"/>
                <w:highlight w:val="none"/>
                <w:lang w:eastAsia="zh-CN"/>
              </w:rPr>
              <w:t>参选人</w:t>
            </w:r>
            <w:r>
              <w:rPr>
                <w:rFonts w:hint="eastAsia" w:ascii="宋体" w:hAnsi="宋体" w:eastAsia="宋体"/>
                <w:color w:val="auto"/>
                <w:sz w:val="24"/>
                <w:szCs w:val="24"/>
                <w:highlight w:val="none"/>
              </w:rPr>
              <w:t>提供的突发事件预定处理方案合理性、可行性进行综合评审，优的得</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分，良的得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分，一般的得</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分，未提供不得分。</w:t>
            </w:r>
          </w:p>
          <w:p w14:paraId="40E6896B">
            <w:pPr>
              <w:keepNext w:val="0"/>
              <w:keepLines w:val="0"/>
              <w:pageBreakBefore w:val="0"/>
              <w:widowControl/>
              <w:kinsoku/>
              <w:wordWrap/>
              <w:overflowPunct/>
              <w:topLinePunct w:val="0"/>
              <w:autoSpaceDE/>
              <w:autoSpaceDN/>
              <w:bidi w:val="0"/>
              <w:snapToGrid w:val="0"/>
              <w:spacing w:line="380" w:lineRule="exact"/>
              <w:jc w:val="both"/>
              <w:textAlignment w:val="auto"/>
              <w:rPr>
                <w:rFonts w:hint="eastAsia" w:ascii="宋体" w:hAnsi="宋体"/>
                <w:color w:val="auto"/>
                <w:sz w:val="24"/>
                <w:szCs w:val="24"/>
                <w:highlight w:val="none"/>
              </w:rPr>
            </w:pPr>
            <w:r>
              <w:rPr>
                <w:rFonts w:hint="eastAsia" w:ascii="宋体" w:hAnsi="宋体" w:eastAsia="宋体"/>
                <w:color w:val="auto"/>
                <w:sz w:val="24"/>
                <w:szCs w:val="24"/>
                <w:highlight w:val="none"/>
              </w:rPr>
              <w:t>评审依据：</w:t>
            </w:r>
            <w:r>
              <w:rPr>
                <w:rFonts w:hint="eastAsia" w:ascii="宋体" w:hAnsi="宋体" w:eastAsia="宋体"/>
                <w:color w:val="auto"/>
                <w:sz w:val="24"/>
                <w:szCs w:val="24"/>
                <w:highlight w:val="none"/>
                <w:lang w:eastAsia="zh-CN"/>
              </w:rPr>
              <w:t>参选文件</w:t>
            </w:r>
            <w:r>
              <w:rPr>
                <w:rFonts w:hint="eastAsia" w:ascii="宋体" w:hAnsi="宋体" w:eastAsia="宋体"/>
                <w:color w:val="auto"/>
                <w:sz w:val="24"/>
                <w:szCs w:val="24"/>
                <w:highlight w:val="none"/>
              </w:rPr>
              <w:t>中</w:t>
            </w:r>
            <w:r>
              <w:rPr>
                <w:rFonts w:hint="eastAsia" w:ascii="宋体" w:hAnsi="宋体" w:eastAsia="宋体"/>
                <w:color w:val="auto"/>
                <w:sz w:val="24"/>
                <w:szCs w:val="24"/>
                <w:highlight w:val="none"/>
                <w:lang w:eastAsia="zh-CN"/>
              </w:rPr>
              <w:t>提供的</w:t>
            </w:r>
            <w:r>
              <w:rPr>
                <w:rFonts w:hint="eastAsia" w:ascii="宋体" w:hAnsi="宋体" w:eastAsia="宋体" w:cs="宋体"/>
                <w:color w:val="auto"/>
                <w:sz w:val="24"/>
                <w:szCs w:val="24"/>
                <w:highlight w:val="none"/>
              </w:rPr>
              <w:t>突发事件预定处理方案</w:t>
            </w:r>
            <w:r>
              <w:rPr>
                <w:rFonts w:hint="eastAsia" w:ascii="宋体" w:hAnsi="宋体" w:eastAsia="宋体"/>
                <w:color w:val="auto"/>
                <w:sz w:val="24"/>
                <w:szCs w:val="24"/>
                <w:highlight w:val="none"/>
              </w:rPr>
              <w:t>。</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vMerge w:val="restart"/>
            <w:tcBorders>
              <w:left w:val="single" w:color="auto" w:sz="4" w:space="0"/>
              <w:right w:val="single" w:color="auto" w:sz="4" w:space="0"/>
            </w:tcBorders>
            <w:noWrap w:val="0"/>
            <w:vAlign w:val="center"/>
          </w:tcPr>
          <w:p w14:paraId="42C2408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商务部分</w:t>
            </w:r>
          </w:p>
          <w:p w14:paraId="100DF16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FBFD83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商务符合性评审(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12C02D6D">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满足</w:t>
            </w:r>
            <w:r>
              <w:rPr>
                <w:rFonts w:hint="eastAsia" w:ascii="宋体" w:hAnsi="宋体" w:eastAsia="宋体"/>
                <w:color w:val="auto"/>
                <w:sz w:val="24"/>
                <w:szCs w:val="24"/>
                <w:highlight w:val="none"/>
                <w:lang w:eastAsia="zh-CN"/>
              </w:rPr>
              <w:t>参选文件</w:t>
            </w:r>
            <w:r>
              <w:rPr>
                <w:rFonts w:hint="eastAsia" w:ascii="宋体" w:hAnsi="宋体" w:eastAsia="宋体"/>
                <w:color w:val="auto"/>
                <w:sz w:val="24"/>
                <w:szCs w:val="24"/>
                <w:highlight w:val="none"/>
              </w:rPr>
              <w:t>商务要求的得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0分，有一项不满足作无效标处理。</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hAnsi="宋体" w:eastAsia="宋体"/>
                <w:color w:val="auto"/>
                <w:sz w:val="24"/>
                <w:szCs w:val="24"/>
                <w:highlight w:val="none"/>
              </w:rPr>
              <w:t>评审依据：</w:t>
            </w:r>
            <w:r>
              <w:rPr>
                <w:rFonts w:hint="eastAsia" w:ascii="宋体" w:hAnsi="宋体" w:eastAsia="宋体"/>
                <w:color w:val="auto"/>
                <w:sz w:val="24"/>
                <w:szCs w:val="24"/>
                <w:highlight w:val="none"/>
                <w:lang w:eastAsia="zh-CN"/>
              </w:rPr>
              <w:t>参选文件</w:t>
            </w:r>
            <w:r>
              <w:rPr>
                <w:rFonts w:hint="eastAsia" w:ascii="宋体" w:hAnsi="宋体" w:eastAsia="宋体"/>
                <w:color w:val="auto"/>
                <w:sz w:val="24"/>
                <w:szCs w:val="24"/>
                <w:highlight w:val="none"/>
              </w:rPr>
              <w:t>中《商务要求响应、偏离表》。</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vMerge w:val="continue"/>
            <w:tcBorders>
              <w:left w:val="single" w:color="auto" w:sz="4" w:space="0"/>
              <w:right w:val="single" w:color="auto" w:sz="4" w:space="0"/>
            </w:tcBorders>
            <w:noWrap w:val="0"/>
            <w:vAlign w:val="center"/>
          </w:tcPr>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p>
        </w:tc>
        <w:tc>
          <w:tcPr>
            <w:tcW w:w="1725" w:type="dxa"/>
            <w:tcBorders>
              <w:top w:val="single" w:color="auto" w:sz="4" w:space="0"/>
              <w:left w:val="single" w:color="auto" w:sz="4" w:space="0"/>
              <w:right w:val="single" w:color="auto" w:sz="4" w:space="0"/>
            </w:tcBorders>
            <w:noWrap w:val="0"/>
            <w:vAlign w:val="center"/>
          </w:tcPr>
          <w:p w14:paraId="621073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类似业绩</w:t>
            </w:r>
          </w:p>
          <w:p w14:paraId="0265A8F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（10分)</w:t>
            </w:r>
          </w:p>
        </w:tc>
        <w:tc>
          <w:tcPr>
            <w:tcW w:w="6729" w:type="dxa"/>
            <w:tcBorders>
              <w:top w:val="single" w:color="auto" w:sz="4" w:space="0"/>
              <w:left w:val="single" w:color="auto" w:sz="4" w:space="0"/>
              <w:right w:val="single" w:color="auto" w:sz="4" w:space="0"/>
            </w:tcBorders>
            <w:noWrap w:val="0"/>
            <w:vAlign w:val="center"/>
          </w:tcPr>
          <w:p w14:paraId="04E2324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提供开标时间截止前3年内类似项目业绩（以合同签订时间为准）：每提供一个类似业绩得2分，此项满分为10分。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eastAsia="宋体"/>
                <w:color w:val="auto"/>
                <w:sz w:val="24"/>
                <w:szCs w:val="24"/>
                <w:highlight w:val="none"/>
                <w:lang w:val="en-US" w:eastAsia="zh-CN"/>
              </w:rPr>
              <w:t>评审依据：参选文件中需提供合同复印件加盖公章。</w:t>
            </w:r>
          </w:p>
        </w:tc>
      </w:tr>
    </w:tbl>
    <w:p w14:paraId="497249C4">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75"/>
        <w:gridCol w:w="2398"/>
        <w:gridCol w:w="1050"/>
        <w:gridCol w:w="928"/>
        <w:gridCol w:w="859"/>
        <w:gridCol w:w="900"/>
      </w:tblGrid>
      <w:tr w14:paraId="1617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6D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4A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FC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0D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BE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4E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3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2673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2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60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 功率60kW</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5D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1.柴油发电机组 功率 60kW</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92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88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8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7F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r>
      <w:tr w14:paraId="227E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14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59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 功率30kW</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32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1.柴油发电机组 功率 30kW</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7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35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B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A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r>
      <w:tr w14:paraId="4780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8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ED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 功率16kW</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1.柴油发电机组 功率 16kW</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9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87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5D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59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24800</w:t>
            </w:r>
          </w:p>
        </w:tc>
      </w:tr>
      <w:tr w14:paraId="0F93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F4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EA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钢轮振动压路机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6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BA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96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BE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DE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r>
      <w:tr w14:paraId="29F2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2C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0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电动切割机</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A5C76">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D8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E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C5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61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5B07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01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履带式/轮式挖掘机</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E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斗容量0.6方 零星60挖机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8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94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2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C3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13600</w:t>
            </w:r>
          </w:p>
        </w:tc>
      </w:tr>
      <w:tr w14:paraId="4F17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22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D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履带式挖掘机</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斗容量1.0方 零星220挖机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8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6A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3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AE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r>
      <w:tr w14:paraId="7D72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C6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8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挖机进出场费</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4D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履带式挖机进场+出场</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40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89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A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47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r w14:paraId="5B97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DA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8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轮式挖掘机</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斗容量1.0方 零星220挖机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DD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0B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126000</w:t>
            </w:r>
          </w:p>
        </w:tc>
      </w:tr>
      <w:tr w14:paraId="4E8F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1F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农用车</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6-8方，垃圾外运，含倒垃圾</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B9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5C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17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8D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w:t>
            </w:r>
          </w:p>
        </w:tc>
      </w:tr>
      <w:tr w14:paraId="0F28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DD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箱式工程车</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1.箱式工程车及其配套设施（含空压机、水泵、电葫芦等）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2.车长5.5米，宽1.9米，高2.5米</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44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6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D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C1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w:t>
            </w:r>
          </w:p>
        </w:tc>
      </w:tr>
      <w:tr w14:paraId="3FF7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50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箱式工程车</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E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1.箱式工程车及其配套设施（含空压机、水泵、电葫芦等）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2.车长6米，宽2.4米，高3.2米</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84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74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7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03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r>
      <w:tr w14:paraId="3801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0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E6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高压疏通车</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5D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1.吸粪车（10t)，疏通，吸污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7D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4A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A7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4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r>
      <w:tr w14:paraId="3CE1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BB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73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高压疏通车</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11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1.吸粪车（25t)，疏通，吸污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4C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45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BA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5C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r>
      <w:tr w14:paraId="6888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08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13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排查雨，污管道</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85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1.雨，污管道QV镜排查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启闭井盖,强制通风,设备调试,检测设备下井,管道检测,影像判读,取出检测设备,清洗设备,运输,完成评估报告等.</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58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DA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C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FB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r>
      <w:tr w14:paraId="16BA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E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58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CCTV检测</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9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1.雨，污管道CCTV检测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启闭井盖,强制通风,设备调试,检测设备下井,管道检测,影像判读,取出检测设备,清洗设备,运输,完成评估报告等.</w:t>
            </w:r>
          </w:p>
        </w:tc>
        <w:tc>
          <w:tcPr>
            <w:tcW w:w="1050" w:type="dxa"/>
            <w:tcBorders>
              <w:top w:val="single" w:color="000000" w:sz="4" w:space="0"/>
              <w:left w:val="single" w:color="000000" w:sz="4" w:space="0"/>
              <w:bottom w:val="nil"/>
              <w:right w:val="single" w:color="000000" w:sz="4" w:space="0"/>
            </w:tcBorders>
            <w:shd w:val="clear" w:color="FFFFFF" w:fill="FFFFFF"/>
            <w:vAlign w:val="center"/>
          </w:tcPr>
          <w:p w14:paraId="00591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8" w:type="dxa"/>
            <w:tcBorders>
              <w:top w:val="single" w:color="000000" w:sz="4" w:space="0"/>
              <w:left w:val="single" w:color="000000" w:sz="4" w:space="0"/>
              <w:bottom w:val="nil"/>
              <w:right w:val="single" w:color="000000" w:sz="4" w:space="0"/>
            </w:tcBorders>
            <w:shd w:val="clear" w:color="FFFFFF" w:fill="FFFFFF"/>
            <w:vAlign w:val="center"/>
          </w:tcPr>
          <w:p w14:paraId="160C3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859" w:type="dxa"/>
            <w:tcBorders>
              <w:top w:val="single" w:color="000000" w:sz="4" w:space="0"/>
              <w:left w:val="single" w:color="000000" w:sz="4" w:space="0"/>
              <w:bottom w:val="nil"/>
              <w:right w:val="single" w:color="000000" w:sz="4" w:space="0"/>
            </w:tcBorders>
            <w:shd w:val="clear" w:color="FFFFFF" w:fill="FFFFFF"/>
            <w:vAlign w:val="center"/>
          </w:tcPr>
          <w:p w14:paraId="1788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53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r>
      <w:tr w14:paraId="768F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E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D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23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B2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工作内容:仪器调试、标定、检测、记录报告等.</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55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23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51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D0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r>
      <w:tr w14:paraId="7A61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31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67D65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A15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825500</w:t>
            </w:r>
          </w:p>
        </w:tc>
      </w:tr>
      <w:tr w14:paraId="5F5E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210" w:type="dxa"/>
            <w:gridSpan w:val="7"/>
            <w:tcBorders>
              <w:top w:val="nil"/>
              <w:left w:val="nil"/>
              <w:bottom w:val="nil"/>
              <w:right w:val="nil"/>
            </w:tcBorders>
            <w:shd w:val="clear" w:color="auto" w:fill="auto"/>
            <w:vAlign w:val="center"/>
          </w:tcPr>
          <w:p w14:paraId="5BD26B6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ascii="??" w:hAnsi="??" w:eastAsia="??" w:cs="??"/>
                <w:i w:val="0"/>
                <w:iCs w:val="0"/>
                <w:color w:val="000000"/>
                <w:sz w:val="22"/>
                <w:szCs w:val="22"/>
                <w:u w:val="none"/>
              </w:rPr>
            </w:pPr>
            <w:r>
              <w:rPr>
                <w:rFonts w:hint="default" w:ascii="宋体" w:hAnsi="宋体" w:eastAsia="宋体" w:cs="宋体"/>
                <w:color w:val="auto"/>
                <w:kern w:val="2"/>
                <w:sz w:val="24"/>
                <w:szCs w:val="24"/>
                <w:highlight w:val="none"/>
                <w:lang w:val="en-US" w:eastAsia="zh-CN" w:bidi="ar-SA"/>
              </w:rPr>
              <w:t>备注：1、招标暂估数量由市政管养部、工程管理部提供，结算据实调整；</w:t>
            </w:r>
            <w:r>
              <w:rPr>
                <w:rFonts w:hint="default" w:ascii="宋体" w:hAnsi="宋体" w:eastAsia="宋体" w:cs="宋体"/>
                <w:color w:val="auto"/>
                <w:kern w:val="2"/>
                <w:sz w:val="24"/>
                <w:szCs w:val="24"/>
                <w:highlight w:val="none"/>
                <w:lang w:val="en-US" w:eastAsia="zh-CN" w:bidi="ar-SA"/>
              </w:rPr>
              <w:br w:type="textWrapping"/>
            </w:r>
            <w:r>
              <w:rPr>
                <w:rFonts w:hint="default" w:ascii="宋体" w:hAnsi="宋体" w:eastAsia="宋体" w:cs="宋体"/>
                <w:color w:val="auto"/>
                <w:kern w:val="2"/>
                <w:sz w:val="24"/>
                <w:szCs w:val="24"/>
                <w:highlight w:val="none"/>
                <w:lang w:val="en-US" w:eastAsia="zh-CN" w:bidi="ar-SA"/>
              </w:rPr>
              <w:t xml:space="preserve">      2、本单价为机械租赁市场参考行情价（综合考虑所有税费，劳务税率3%）</w:t>
            </w:r>
          </w:p>
        </w:tc>
      </w:tr>
    </w:tbl>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技术要求</w:t>
      </w:r>
    </w:p>
    <w:p w14:paraId="7D9F1A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须严格按照</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获批的范围和要求实施开采，服从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 xml:space="preserve">现场管理和生产需求，按照要求进行卸载和堆放。如不服从管理，造成的后果由中标方承担。 </w:t>
      </w:r>
    </w:p>
    <w:p w14:paraId="3F1FB148">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具有健全的组织机构和管理制度，清晰的组织职能，精干高效的管理团队，具有健康、稳定和持续发展能力。具有从事相关专业技术力量，包括拥有的技术人员，完整的技术管理体系，须提供相应技术人员和技术团队配置表及机械装备配置表。</w:t>
      </w:r>
    </w:p>
    <w:p w14:paraId="38CE5A1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（1）自有设备需满足招标控制价清单上的所有车辆，需提供设备合格证、车辆铭牌照片复印件加盖</w:t>
      </w:r>
      <w:r>
        <w:rPr>
          <w:rFonts w:hint="eastAsia" w:ascii="宋体" w:hAnsi="宋体" w:cs="宋体"/>
          <w:color w:val="auto"/>
          <w:kern w:val="2"/>
          <w:sz w:val="24"/>
          <w:szCs w:val="24"/>
          <w:highlight w:val="none"/>
          <w:lang w:val="en-US" w:eastAsia="zh-CN" w:bidi="ar-SA"/>
        </w:rPr>
        <w:t>参选人</w:t>
      </w:r>
      <w:r>
        <w:rPr>
          <w:rFonts w:hint="eastAsia" w:ascii="宋体" w:hAnsi="宋体" w:eastAsia="宋体" w:cs="宋体"/>
          <w:color w:val="auto"/>
          <w:kern w:val="2"/>
          <w:sz w:val="24"/>
          <w:szCs w:val="24"/>
          <w:highlight w:val="none"/>
          <w:lang w:val="en-US" w:eastAsia="zh-CN" w:bidi="ar-SA"/>
        </w:rPr>
        <w:t>公章。</w:t>
      </w:r>
    </w:p>
    <w:p w14:paraId="1F0A073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（2）设备操作员须提供相关人员从业证书和有效的劳动聘用合同加盖</w:t>
      </w:r>
      <w:r>
        <w:rPr>
          <w:rFonts w:hint="eastAsia" w:ascii="宋体" w:hAnsi="宋体" w:cs="宋体"/>
          <w:color w:val="auto"/>
          <w:kern w:val="2"/>
          <w:sz w:val="24"/>
          <w:szCs w:val="24"/>
          <w:highlight w:val="none"/>
          <w:lang w:val="en-US" w:eastAsia="zh-CN" w:bidi="ar-SA"/>
        </w:rPr>
        <w:t>参选人</w:t>
      </w:r>
      <w:r>
        <w:rPr>
          <w:rFonts w:hint="eastAsia" w:ascii="宋体" w:hAnsi="宋体" w:eastAsia="宋体" w:cs="宋体"/>
          <w:color w:val="auto"/>
          <w:kern w:val="2"/>
          <w:sz w:val="24"/>
          <w:szCs w:val="24"/>
          <w:highlight w:val="none"/>
          <w:lang w:val="en-US" w:eastAsia="zh-CN" w:bidi="ar-SA"/>
        </w:rPr>
        <w:t>公章。</w:t>
      </w:r>
    </w:p>
    <w:p w14:paraId="35D8B37C">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租赁的机械应提供《产品合格证明》、《出厂检验报告》、《生产许可证》及其他相关技术质量资料。如乙方没有依约提供上述报告凭证的，甲方有权拒绝机械入场和支付租赁费，依国家或行业规定无须提供上述资料的除外。</w:t>
      </w:r>
    </w:p>
    <w:p w14:paraId="731C77D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4、乙方应当交付能够胜任整个租赁期限内工程使用的设备。</w:t>
      </w:r>
    </w:p>
    <w:p w14:paraId="630BABE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5、甲方指定 （甲方授权人员）清点租赁物数量，并在收到租赁物时起24小时内对租赁物进行初步状况检查，开具甲方租赁设备签收凭证。</w:t>
      </w:r>
    </w:p>
    <w:p w14:paraId="5E973999">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甲方在验收或使用过程中发现租赁物的型号、规格、数理和技术性能等有不符合要求、不良或瑕疵等租赁物质量问题，甲方应在发现或应当发现之日起7天内，将上述情况书面告知乙方，由乙方负责处理，因此产生的损失由乙方承担赔偿。</w:t>
      </w:r>
    </w:p>
    <w:p w14:paraId="3BBFC09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7、租赁物的日常操作及维护</w:t>
      </w:r>
    </w:p>
    <w:p w14:paraId="7976F14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（1）在租赁期限内，乙方负责租赁物的日常维护修理工作，保证甲方正常使用，期间所发生的维护修理费用，由乙方自行负担。甲方应给予合理的维护时间。</w:t>
      </w:r>
    </w:p>
    <w:p w14:paraId="5C4D47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（2）乙方的随机操作人员必须是与乙方签订了劳动合同的工人，操作工人的工资、社会保险等所有费用由乙方支付和缴纳，发生工伤事故等由乙方负责处理并承担所有费用。</w:t>
      </w:r>
    </w:p>
    <w:p w14:paraId="4AE6B21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租设备物资由乙方负责进退场运输工作，乙方应当严格按照安全操作规范进行操作。租赁物在运输、保管、维护、使用等过程中发生安全事故，致使人员伤亡或财产损失的，由乙方负责处理并承担全部责任。如因甲方使用不当等原因造成的，由甲方承担相应的责任。</w:t>
      </w:r>
    </w:p>
    <w:p w14:paraId="3CB4390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8、租赁物权属</w:t>
      </w:r>
    </w:p>
    <w:p w14:paraId="1AA6DFD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（1）租赁期限内，租赁物所有权属于乙方，甲方拥有对租赁物的租赁使用权。</w:t>
      </w:r>
    </w:p>
    <w:p w14:paraId="726ED58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租赁期限内，乙方转让租赁物或将租赁物抵押第三人的，应事先通知甲方，甲方不因此丧失租赁权。如因乙方转让或抵押租赁物行为致使甲方对租赁物的使用受到限制或丧失的，乙方向甲方支付10000元违约金。</w:t>
      </w:r>
    </w:p>
    <w:p w14:paraId="42E980E8">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（3）租赁期限内，甲方如对租赁物进行改善或者增设他物，必须征得乙方的同意，甲方的符合使用目的的合理要求，乙方应当给予配合。</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、租赁期内，乙方不得再行将租赁物出租第三人。如因乙方再行出租租赁物行为原因或乙方对租赁物所有权存在权利瑕疵原因致使甲方对租赁物的使用受到限制或丧失的，乙方向甲方支付 元违约金。甲方如将租赁物转租给第三人，必须征得乙方同意。</w:t>
      </w:r>
    </w:p>
    <w:p w14:paraId="5942B39E">
      <w:pPr>
        <w:numPr>
          <w:ilvl w:val="0"/>
          <w:numId w:val="0"/>
        </w:numPr>
        <w:spacing w:line="360" w:lineRule="auto"/>
        <w:rPr>
          <w:rFonts w:hint="eastAsia" w:ascii="宋体" w:hAnsi="宋体" w:cs="宋体"/>
          <w:b/>
          <w:bCs/>
          <w:color w:val="auto"/>
          <w:sz w:val="32"/>
          <w:szCs w:val="32"/>
          <w:highlight w:val="none"/>
          <w:lang w:val="en-US" w:eastAsia="zh-CN"/>
        </w:rPr>
      </w:pPr>
    </w:p>
    <w:p w14:paraId="5D5B5563">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商务要求</w:t>
      </w:r>
    </w:p>
    <w:p w14:paraId="5D28DD38">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bookmarkStart w:id="37" w:name="bookmark234"/>
      <w:r>
        <w:rPr>
          <w:rFonts w:hint="eastAsia" w:ascii="宋体" w:hAnsi="宋体" w:eastAsia="宋体" w:cs="宋体"/>
          <w:color w:val="auto"/>
          <w:kern w:val="2"/>
          <w:sz w:val="24"/>
          <w:szCs w:val="24"/>
          <w:highlight w:val="none"/>
          <w:lang w:val="en-US" w:eastAsia="zh-CN" w:bidi="ar-SA"/>
        </w:rPr>
        <w:t>1</w:t>
      </w:r>
      <w:bookmarkEnd w:id="37"/>
      <w:r>
        <w:rPr>
          <w:rFonts w:hint="eastAsia" w:ascii="宋体" w:hAnsi="宋体" w:eastAsia="宋体" w:cs="宋体"/>
          <w:color w:val="auto"/>
          <w:kern w:val="2"/>
          <w:sz w:val="24"/>
          <w:szCs w:val="24"/>
          <w:highlight w:val="none"/>
          <w:lang w:val="en-US" w:eastAsia="zh-CN" w:bidi="ar-SA"/>
        </w:rPr>
        <w:t>、服务要求:</w:t>
      </w:r>
    </w:p>
    <w:p w14:paraId="1E163FC6">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机械租赁（包含油费、排险、解小、上车、挖机保险、人身保险、第三责任险等工作内容）。</w:t>
      </w:r>
    </w:p>
    <w:p w14:paraId="68BE07C5">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（1）机械设备及人员：投标报价包括机械设备所使用的燃油费、设备保险、人身保险、第三责任险、税收等全部费用，招标人不再支付其它任何费用。</w:t>
      </w:r>
    </w:p>
    <w:p w14:paraId="0DB3DDBC">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（2）服务内容：包含排险、解小、上车等。</w:t>
      </w:r>
    </w:p>
    <w:p w14:paraId="5FCE8C84">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24"/>
          <w:highlight w:val="none"/>
          <w:lang w:val="en-US" w:eastAsia="zh-CN"/>
        </w:rPr>
      </w:pPr>
      <w:bookmarkStart w:id="38" w:name="bookmark236"/>
      <w:r>
        <w:rPr>
          <w:rFonts w:hint="eastAsia" w:ascii="宋体" w:hAnsi="宋体" w:eastAsia="宋体" w:cs="宋体"/>
          <w:sz w:val="24"/>
          <w:szCs w:val="24"/>
          <w:highlight w:val="none"/>
          <w:lang w:val="en-US" w:eastAsia="zh-CN"/>
        </w:rPr>
        <w:t>2、工程款支付</w:t>
      </w:r>
    </w:p>
    <w:p w14:paraId="165C375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sz w:val="24"/>
          <w:szCs w:val="24"/>
          <w:highlight w:val="none"/>
          <w:lang w:val="en-US" w:eastAsia="zh-CN"/>
        </w:rPr>
        <w:t>工程完工办理验收后支付至验收合格工程量价款的70%，办理竣工验收后，结算审计完成支付至结算价的100%。</w:t>
      </w:r>
    </w:p>
    <w:p w14:paraId="42CBB95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sz w:val="24"/>
          <w:szCs w:val="24"/>
          <w:highlight w:val="none"/>
          <w:lang w:val="en-US" w:eastAsia="zh-CN"/>
        </w:rPr>
        <w:t>招标人有权按收到建设单位拨付工程款比例的同比例支付中标人款项，中标人不得向招标人主张任何权力。</w:t>
      </w:r>
    </w:p>
    <w:p w14:paraId="4FA97EC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3、工期延误赔偿费：工期延误赔偿1000元/日历天，赔偿费限额为合同价格的2%。</w:t>
      </w:r>
    </w:p>
    <w:p w14:paraId="6A91261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z w:val="24"/>
          <w:szCs w:val="24"/>
          <w:highlight w:val="none"/>
          <w:lang w:val="en-US" w:eastAsia="zh-CN"/>
        </w:rPr>
        <w:t>合同履行期间因市场物价波动影响合同价款，中标人采购的主要材料单价涨（跌）幅超过基准价格±5％时中标人应分摊计价风险。</w:t>
      </w:r>
    </w:p>
    <w:p w14:paraId="4DD0B36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5、中标单位须开具有效增值税专用发票。</w:t>
      </w:r>
    </w:p>
    <w:bookmarkEnd w:id="38"/>
    <w:p w14:paraId="040E484F">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、服务地点：比选人指定地点。</w:t>
      </w:r>
    </w:p>
    <w:p w14:paraId="46657ED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、工期：以合同签订时间为准。</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注：以上技术要求、商务要求为必须</w:t>
      </w:r>
      <w:r>
        <w:rPr>
          <w:rFonts w:hint="eastAsia" w:ascii="宋体" w:hAnsi="宋体" w:cs="宋体"/>
          <w:b/>
          <w:bCs/>
          <w:color w:val="auto"/>
          <w:kern w:val="2"/>
          <w:sz w:val="24"/>
          <w:szCs w:val="24"/>
          <w:highlight w:val="none"/>
          <w:lang w:val="en-US" w:eastAsia="zh-CN" w:bidi="ar-SA"/>
        </w:rPr>
        <w:t>完全响应</w:t>
      </w:r>
      <w:r>
        <w:rPr>
          <w:rFonts w:hint="eastAsia" w:ascii="宋体" w:hAnsi="宋体" w:eastAsia="宋体" w:cs="宋体"/>
          <w:b/>
          <w:bCs/>
          <w:color w:val="auto"/>
          <w:kern w:val="2"/>
          <w:sz w:val="24"/>
          <w:szCs w:val="24"/>
          <w:highlight w:val="none"/>
          <w:lang w:val="en-US" w:eastAsia="zh-CN" w:bidi="ar-SA"/>
        </w:rPr>
        <w:t>，否则视为无效响应。</w:t>
      </w:r>
    </w:p>
    <w:p w14:paraId="4D4BA56A">
      <w:pPr>
        <w:pStyle w:val="2"/>
        <w:numPr>
          <w:ilvl w:val="0"/>
          <w:numId w:val="0"/>
        </w:numPr>
        <w:rPr>
          <w:rFonts w:hint="eastAsia"/>
          <w:color w:val="auto"/>
          <w:highlight w:val="none"/>
          <w:lang w:val="en-US" w:eastAsia="zh-CN"/>
        </w:rPr>
      </w:pPr>
    </w:p>
    <w:p w14:paraId="0BBC4D3F">
      <w:pPr>
        <w:rPr>
          <w:rFonts w:hint="eastAsia"/>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9"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0"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9"/>
      <w:r>
        <w:rPr>
          <w:rFonts w:hint="eastAsia" w:ascii="宋体" w:hAnsi="宋体" w:cs="宋体"/>
          <w:color w:val="auto"/>
          <w:sz w:val="44"/>
          <w:szCs w:val="44"/>
          <w:highlight w:val="none"/>
        </w:rPr>
        <w:t>格式</w:t>
      </w:r>
      <w:bookmarkEnd w:id="40"/>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1" w:name="_Toc324678969"/>
      <w:bookmarkStart w:id="42" w:name="_Toc377982361"/>
      <w:bookmarkStart w:id="43" w:name="_Toc178705054"/>
      <w:bookmarkStart w:id="44"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1"/>
      <w:bookmarkEnd w:id="42"/>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sz w:val="24"/>
          <w:szCs w:val="24"/>
        </w:rPr>
        <w:t>要求响应、偏离表</w:t>
      </w:r>
    </w:p>
    <w:p w14:paraId="7ACC59AE">
      <w:pPr>
        <w:numPr>
          <w:ilvl w:val="0"/>
          <w:numId w:val="6"/>
        </w:numPr>
        <w:spacing w:line="440" w:lineRule="exact"/>
        <w:ind w:firstLine="557"/>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商务要求响应、偏离表</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3"/>
      <w:bookmarkEnd w:id="44"/>
      <w:bookmarkStart w:id="45" w:name="_Toc377982362"/>
      <w:bookmarkStart w:id="46" w:name="_Toc324678970"/>
    </w:p>
    <w:bookmarkEnd w:id="45"/>
    <w:p w14:paraId="43523EB4">
      <w:pPr>
        <w:jc w:val="center"/>
        <w:rPr>
          <w:rFonts w:hint="eastAsia" w:ascii="宋体" w:hAnsi="宋体" w:cs="宋体"/>
          <w:b/>
          <w:bCs/>
          <w:color w:val="auto"/>
          <w:sz w:val="36"/>
          <w:szCs w:val="36"/>
          <w:highlight w:val="none"/>
        </w:rPr>
      </w:pPr>
      <w:bookmarkStart w:id="47" w:name="_Toc377982363"/>
      <w:r>
        <w:rPr>
          <w:rFonts w:hint="eastAsia" w:ascii="宋体" w:hAnsi="宋体" w:cs="宋体"/>
          <w:b/>
          <w:bCs/>
          <w:color w:val="auto"/>
          <w:sz w:val="36"/>
          <w:szCs w:val="36"/>
          <w:highlight w:val="none"/>
        </w:rPr>
        <w:t>2、开标一览表</w:t>
      </w:r>
      <w:bookmarkEnd w:id="46"/>
      <w:bookmarkEnd w:id="47"/>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8" w:name="_Toc324678971"/>
      <w:bookmarkStart w:id="49" w:name="_Toc403422543"/>
      <w:bookmarkStart w:id="50"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1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8"/>
      <w:bookmarkEnd w:id="49"/>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1"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w:t>
      </w:r>
      <w:r>
        <w:rPr>
          <w:rFonts w:hint="eastAsia" w:ascii="宋体" w:hAnsi="宋体" w:cs="宋体"/>
          <w:b/>
          <w:bCs/>
          <w:color w:val="auto"/>
          <w:sz w:val="36"/>
          <w:szCs w:val="36"/>
          <w:highlight w:val="none"/>
          <w:lang w:eastAsia="zh-CN"/>
        </w:rPr>
        <w:t>技术要求</w:t>
      </w:r>
      <w:r>
        <w:rPr>
          <w:rFonts w:hint="eastAsia" w:ascii="宋体" w:hAnsi="宋体" w:cs="宋体"/>
          <w:b/>
          <w:bCs/>
          <w:color w:val="auto"/>
          <w:sz w:val="36"/>
          <w:szCs w:val="36"/>
          <w:highlight w:val="none"/>
        </w:rPr>
        <w:t>响应/偏离表</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6757C87C">
      <w:pPr>
        <w:rPr>
          <w:rFonts w:hint="eastAsia" w:ascii="宋体" w:hAnsi="宋体" w:cs="宋体"/>
          <w:color w:val="auto"/>
          <w:highlight w:val="none"/>
        </w:rPr>
      </w:pPr>
    </w:p>
    <w:p w14:paraId="4C0B40CB">
      <w:pPr>
        <w:rPr>
          <w:rFonts w:hint="eastAsia" w:ascii="宋体" w:hAnsi="宋体" w:cs="宋体"/>
          <w:color w:val="auto"/>
          <w:highlight w:val="none"/>
        </w:rPr>
      </w:pPr>
      <w:r>
        <w:rPr>
          <w:rFonts w:hint="eastAsia" w:ascii="宋体" w:hAnsi="宋体" w:cs="宋体"/>
          <w:color w:val="auto"/>
          <w:highlight w:val="none"/>
        </w:rPr>
        <w:t>注：</w:t>
      </w:r>
      <w:bookmarkStart w:id="52" w:name="_Toc5645"/>
      <w:r>
        <w:rPr>
          <w:rFonts w:hint="eastAsia" w:ascii="宋体" w:hAnsi="宋体" w:cs="宋体"/>
          <w:color w:val="auto"/>
          <w:highlight w:val="none"/>
        </w:rPr>
        <w:t>1、响应/偏离内容应在说明栏中说明该条款在</w:t>
      </w:r>
      <w:r>
        <w:rPr>
          <w:rFonts w:hint="eastAsia" w:ascii="宋体" w:hAnsi="宋体" w:cs="宋体"/>
          <w:color w:val="auto"/>
          <w:highlight w:val="none"/>
          <w:lang w:val="en-US" w:eastAsia="zh-CN"/>
        </w:rPr>
        <w:t>参选</w:t>
      </w:r>
      <w:r>
        <w:rPr>
          <w:rFonts w:hint="eastAsia" w:ascii="宋体" w:hAnsi="宋体" w:cs="宋体"/>
          <w:color w:val="auto"/>
          <w:highlight w:val="none"/>
        </w:rPr>
        <w:t>文件中（或页码）的依据；</w:t>
      </w:r>
    </w:p>
    <w:p w14:paraId="720B783C">
      <w:pPr>
        <w:rPr>
          <w:rFonts w:hint="eastAsia" w:ascii="宋体" w:hAnsi="宋体" w:cs="宋体"/>
          <w:color w:val="auto"/>
          <w:highlight w:val="none"/>
        </w:rPr>
      </w:pPr>
      <w:r>
        <w:rPr>
          <w:rFonts w:hint="eastAsia" w:ascii="宋体" w:hAnsi="宋体" w:cs="宋体"/>
          <w:color w:val="auto"/>
          <w:highlight w:val="none"/>
        </w:rPr>
        <w:t xml:space="preserve">    2、</w:t>
      </w:r>
      <w:r>
        <w:rPr>
          <w:rFonts w:hint="eastAsia" w:ascii="宋体" w:hAnsi="宋体" w:cs="宋体"/>
          <w:color w:val="auto"/>
          <w:highlight w:val="none"/>
          <w:lang w:val="en-US"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参选人</w:t>
      </w:r>
      <w:r>
        <w:rPr>
          <w:rFonts w:hint="eastAsia" w:ascii="宋体" w:hAnsi="宋体" w:cs="宋体"/>
          <w:color w:val="auto"/>
          <w:highlight w:val="none"/>
        </w:rPr>
        <w:t>承担。</w:t>
      </w:r>
      <w:bookmarkEnd w:id="52"/>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1"/>
    <w:p w14:paraId="68C34501">
      <w:pPr>
        <w:rPr>
          <w:rFonts w:hint="eastAsia" w:hAnsi="宋体" w:cs="宋体"/>
          <w:color w:val="auto"/>
          <w:sz w:val="24"/>
          <w:szCs w:val="24"/>
          <w:highlight w:val="none"/>
          <w:u w:val="single"/>
        </w:rPr>
      </w:pPr>
      <w:bookmarkStart w:id="53" w:name="_Toc324678974"/>
      <w:r>
        <w:rPr>
          <w:rFonts w:hint="eastAsia" w:hAnsi="宋体" w:cs="宋体"/>
          <w:color w:val="auto"/>
          <w:sz w:val="24"/>
          <w:szCs w:val="24"/>
          <w:highlight w:val="none"/>
          <w:u w:val="single"/>
        </w:rPr>
        <w:br w:type="page"/>
      </w:r>
    </w:p>
    <w:p w14:paraId="339C0F57">
      <w:pPr>
        <w:rPr>
          <w:rFonts w:hint="eastAsia"/>
        </w:rPr>
      </w:pPr>
    </w:p>
    <w:p w14:paraId="27EB663A">
      <w:pPr>
        <w:pStyle w:val="15"/>
        <w:jc w:val="center"/>
        <w:rPr>
          <w:rFonts w:hint="eastAsia" w:hAnsi="宋体" w:cs="宋体"/>
          <w:color w:val="auto"/>
          <w:highlight w:val="none"/>
          <w:u w:val="singl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商务要求</w:t>
      </w:r>
      <w:r>
        <w:rPr>
          <w:rFonts w:hint="eastAsia" w:ascii="宋体" w:hAnsi="宋体" w:cs="宋体"/>
          <w:b/>
          <w:bCs/>
          <w:color w:val="auto"/>
          <w:sz w:val="36"/>
          <w:szCs w:val="36"/>
          <w:highlight w:val="none"/>
        </w:rPr>
        <w:t>响应/偏离表</w:t>
      </w:r>
    </w:p>
    <w:p w14:paraId="1FB68452">
      <w:pPr>
        <w:ind w:firstLine="480" w:firstLineChars="200"/>
        <w:rPr>
          <w:rFonts w:hint="eastAsia" w:ascii="宋体" w:hAnsi="宋体" w:cs="宋体"/>
          <w:color w:val="auto"/>
          <w:sz w:val="24"/>
          <w:szCs w:val="24"/>
          <w:highlight w:val="none"/>
          <w:lang w:val="zh-CN"/>
        </w:rPr>
      </w:pPr>
    </w:p>
    <w:p w14:paraId="1436B6D1">
      <w:pPr>
        <w:ind w:firstLine="480" w:firstLineChars="200"/>
        <w:rPr>
          <w:rFonts w:hint="eastAsia" w:ascii="宋体" w:hAnsi="宋体" w:cs="宋体"/>
          <w:b w:val="0"/>
          <w:bCs w:val="0"/>
          <w:color w:val="auto"/>
          <w:sz w:val="36"/>
          <w:szCs w:val="36"/>
          <w:highlight w:val="none"/>
          <w:lang w:val="en-US" w:eastAsia="zh-CN"/>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0AA5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42D61C59">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0E3D25F0">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7C0CC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文件的商务要求</w:t>
            </w:r>
          </w:p>
        </w:tc>
        <w:tc>
          <w:tcPr>
            <w:tcW w:w="1597" w:type="dxa"/>
            <w:noWrap w:val="0"/>
            <w:vAlign w:val="center"/>
          </w:tcPr>
          <w:p w14:paraId="047BCE7E">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文件商务要求</w:t>
            </w:r>
            <w:r>
              <w:rPr>
                <w:rFonts w:hint="eastAsia"/>
                <w:color w:val="000000"/>
                <w:kern w:val="2"/>
                <w:sz w:val="24"/>
                <w:szCs w:val="24"/>
                <w:highlight w:val="none"/>
              </w:rPr>
              <w:t>响应</w:t>
            </w:r>
          </w:p>
        </w:tc>
        <w:tc>
          <w:tcPr>
            <w:tcW w:w="1597" w:type="dxa"/>
            <w:noWrap w:val="0"/>
            <w:vAlign w:val="center"/>
          </w:tcPr>
          <w:p w14:paraId="523F9A9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7779BF0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7860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6FA938D4">
            <w:pPr>
              <w:pStyle w:val="15"/>
              <w:spacing w:line="600" w:lineRule="exact"/>
              <w:jc w:val="center"/>
              <w:rPr>
                <w:rFonts w:hint="eastAsia"/>
                <w:color w:val="000000"/>
                <w:kern w:val="2"/>
                <w:szCs w:val="24"/>
                <w:highlight w:val="none"/>
              </w:rPr>
            </w:pPr>
          </w:p>
        </w:tc>
        <w:tc>
          <w:tcPr>
            <w:tcW w:w="1771" w:type="dxa"/>
            <w:noWrap w:val="0"/>
            <w:vAlign w:val="center"/>
          </w:tcPr>
          <w:p w14:paraId="313C24AF">
            <w:pPr>
              <w:pStyle w:val="15"/>
              <w:spacing w:line="600" w:lineRule="exact"/>
              <w:jc w:val="center"/>
              <w:rPr>
                <w:rFonts w:hint="eastAsia"/>
                <w:color w:val="000000"/>
                <w:kern w:val="2"/>
                <w:szCs w:val="24"/>
                <w:highlight w:val="none"/>
              </w:rPr>
            </w:pPr>
          </w:p>
        </w:tc>
        <w:tc>
          <w:tcPr>
            <w:tcW w:w="1802" w:type="dxa"/>
            <w:noWrap w:val="0"/>
            <w:vAlign w:val="center"/>
          </w:tcPr>
          <w:p w14:paraId="70C0D374">
            <w:pPr>
              <w:pStyle w:val="15"/>
              <w:spacing w:line="600" w:lineRule="exact"/>
              <w:jc w:val="center"/>
              <w:rPr>
                <w:rFonts w:hint="eastAsia"/>
                <w:color w:val="000000"/>
                <w:kern w:val="2"/>
                <w:szCs w:val="24"/>
                <w:highlight w:val="none"/>
              </w:rPr>
            </w:pPr>
          </w:p>
        </w:tc>
        <w:tc>
          <w:tcPr>
            <w:tcW w:w="1597" w:type="dxa"/>
            <w:noWrap w:val="0"/>
            <w:vAlign w:val="center"/>
          </w:tcPr>
          <w:p w14:paraId="008B7A9B">
            <w:pPr>
              <w:pStyle w:val="15"/>
              <w:spacing w:line="600" w:lineRule="exact"/>
              <w:jc w:val="center"/>
              <w:rPr>
                <w:rFonts w:hint="eastAsia"/>
                <w:color w:val="000000"/>
                <w:kern w:val="2"/>
                <w:szCs w:val="24"/>
                <w:highlight w:val="none"/>
              </w:rPr>
            </w:pPr>
          </w:p>
        </w:tc>
        <w:tc>
          <w:tcPr>
            <w:tcW w:w="1597" w:type="dxa"/>
            <w:noWrap w:val="0"/>
            <w:vAlign w:val="center"/>
          </w:tcPr>
          <w:p w14:paraId="6B50523B">
            <w:pPr>
              <w:pStyle w:val="15"/>
              <w:spacing w:line="600" w:lineRule="exact"/>
              <w:jc w:val="center"/>
              <w:rPr>
                <w:rFonts w:hint="eastAsia"/>
                <w:color w:val="000000"/>
                <w:kern w:val="2"/>
                <w:szCs w:val="24"/>
                <w:highlight w:val="none"/>
              </w:rPr>
            </w:pPr>
          </w:p>
        </w:tc>
        <w:tc>
          <w:tcPr>
            <w:tcW w:w="1597" w:type="dxa"/>
            <w:noWrap w:val="0"/>
            <w:vAlign w:val="center"/>
          </w:tcPr>
          <w:p w14:paraId="54028753">
            <w:pPr>
              <w:pStyle w:val="15"/>
              <w:spacing w:line="600" w:lineRule="exact"/>
              <w:jc w:val="center"/>
              <w:rPr>
                <w:rFonts w:hint="eastAsia"/>
                <w:color w:val="000000"/>
                <w:kern w:val="2"/>
                <w:szCs w:val="24"/>
                <w:highlight w:val="none"/>
              </w:rPr>
            </w:pPr>
          </w:p>
        </w:tc>
      </w:tr>
      <w:tr w14:paraId="0B0E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6DE7530">
            <w:pPr>
              <w:pStyle w:val="15"/>
              <w:spacing w:line="600" w:lineRule="exact"/>
              <w:rPr>
                <w:rFonts w:hint="eastAsia"/>
                <w:color w:val="000000"/>
                <w:kern w:val="2"/>
                <w:szCs w:val="24"/>
                <w:highlight w:val="none"/>
              </w:rPr>
            </w:pPr>
          </w:p>
        </w:tc>
        <w:tc>
          <w:tcPr>
            <w:tcW w:w="1771" w:type="dxa"/>
            <w:noWrap w:val="0"/>
            <w:vAlign w:val="top"/>
          </w:tcPr>
          <w:p w14:paraId="477C659A">
            <w:pPr>
              <w:pStyle w:val="15"/>
              <w:spacing w:line="600" w:lineRule="exact"/>
              <w:rPr>
                <w:rFonts w:hint="eastAsia"/>
                <w:color w:val="000000"/>
                <w:kern w:val="2"/>
                <w:szCs w:val="24"/>
                <w:highlight w:val="none"/>
              </w:rPr>
            </w:pPr>
          </w:p>
        </w:tc>
        <w:tc>
          <w:tcPr>
            <w:tcW w:w="1802" w:type="dxa"/>
            <w:noWrap w:val="0"/>
            <w:vAlign w:val="top"/>
          </w:tcPr>
          <w:p w14:paraId="160B9E53">
            <w:pPr>
              <w:pStyle w:val="15"/>
              <w:spacing w:line="600" w:lineRule="exact"/>
              <w:rPr>
                <w:rFonts w:hint="eastAsia"/>
                <w:color w:val="000000"/>
                <w:kern w:val="2"/>
                <w:szCs w:val="24"/>
                <w:highlight w:val="none"/>
              </w:rPr>
            </w:pPr>
          </w:p>
        </w:tc>
        <w:tc>
          <w:tcPr>
            <w:tcW w:w="1597" w:type="dxa"/>
            <w:noWrap w:val="0"/>
            <w:vAlign w:val="top"/>
          </w:tcPr>
          <w:p w14:paraId="74A702ED">
            <w:pPr>
              <w:pStyle w:val="15"/>
              <w:spacing w:line="600" w:lineRule="exact"/>
              <w:rPr>
                <w:rFonts w:hint="eastAsia"/>
                <w:color w:val="000000"/>
                <w:kern w:val="2"/>
                <w:szCs w:val="24"/>
                <w:highlight w:val="none"/>
              </w:rPr>
            </w:pPr>
          </w:p>
        </w:tc>
        <w:tc>
          <w:tcPr>
            <w:tcW w:w="1597" w:type="dxa"/>
            <w:noWrap w:val="0"/>
            <w:vAlign w:val="top"/>
          </w:tcPr>
          <w:p w14:paraId="4C076F1F">
            <w:pPr>
              <w:pStyle w:val="15"/>
              <w:spacing w:line="600" w:lineRule="exact"/>
              <w:rPr>
                <w:rFonts w:hint="eastAsia"/>
                <w:color w:val="000000"/>
                <w:kern w:val="2"/>
                <w:szCs w:val="24"/>
                <w:highlight w:val="none"/>
              </w:rPr>
            </w:pPr>
          </w:p>
        </w:tc>
        <w:tc>
          <w:tcPr>
            <w:tcW w:w="1597" w:type="dxa"/>
            <w:noWrap w:val="0"/>
            <w:vAlign w:val="top"/>
          </w:tcPr>
          <w:p w14:paraId="7FD98F5B">
            <w:pPr>
              <w:pStyle w:val="15"/>
              <w:spacing w:line="600" w:lineRule="exact"/>
              <w:rPr>
                <w:rFonts w:hint="eastAsia"/>
                <w:color w:val="000000"/>
                <w:kern w:val="2"/>
                <w:szCs w:val="24"/>
                <w:highlight w:val="none"/>
              </w:rPr>
            </w:pPr>
          </w:p>
        </w:tc>
      </w:tr>
      <w:tr w14:paraId="21D0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6EF1604">
            <w:pPr>
              <w:pStyle w:val="15"/>
              <w:spacing w:line="600" w:lineRule="exact"/>
              <w:rPr>
                <w:rFonts w:hint="eastAsia"/>
                <w:color w:val="000000"/>
                <w:kern w:val="2"/>
                <w:szCs w:val="24"/>
                <w:highlight w:val="none"/>
              </w:rPr>
            </w:pPr>
          </w:p>
        </w:tc>
        <w:tc>
          <w:tcPr>
            <w:tcW w:w="1771" w:type="dxa"/>
            <w:noWrap w:val="0"/>
            <w:vAlign w:val="top"/>
          </w:tcPr>
          <w:p w14:paraId="2271B0F3">
            <w:pPr>
              <w:pStyle w:val="15"/>
              <w:spacing w:line="600" w:lineRule="exact"/>
              <w:rPr>
                <w:rFonts w:hint="eastAsia"/>
                <w:color w:val="000000"/>
                <w:kern w:val="2"/>
                <w:szCs w:val="24"/>
                <w:highlight w:val="none"/>
              </w:rPr>
            </w:pPr>
          </w:p>
        </w:tc>
        <w:tc>
          <w:tcPr>
            <w:tcW w:w="1802" w:type="dxa"/>
            <w:noWrap w:val="0"/>
            <w:vAlign w:val="top"/>
          </w:tcPr>
          <w:p w14:paraId="7598434D">
            <w:pPr>
              <w:pStyle w:val="15"/>
              <w:spacing w:line="600" w:lineRule="exact"/>
              <w:rPr>
                <w:rFonts w:hint="eastAsia"/>
                <w:color w:val="000000"/>
                <w:kern w:val="2"/>
                <w:szCs w:val="24"/>
                <w:highlight w:val="none"/>
              </w:rPr>
            </w:pPr>
          </w:p>
        </w:tc>
        <w:tc>
          <w:tcPr>
            <w:tcW w:w="1597" w:type="dxa"/>
            <w:noWrap w:val="0"/>
            <w:vAlign w:val="top"/>
          </w:tcPr>
          <w:p w14:paraId="15D7E46C">
            <w:pPr>
              <w:pStyle w:val="15"/>
              <w:spacing w:line="600" w:lineRule="exact"/>
              <w:rPr>
                <w:rFonts w:hint="eastAsia"/>
                <w:color w:val="000000"/>
                <w:kern w:val="2"/>
                <w:szCs w:val="24"/>
                <w:highlight w:val="none"/>
              </w:rPr>
            </w:pPr>
          </w:p>
        </w:tc>
        <w:tc>
          <w:tcPr>
            <w:tcW w:w="1597" w:type="dxa"/>
            <w:noWrap w:val="0"/>
            <w:vAlign w:val="top"/>
          </w:tcPr>
          <w:p w14:paraId="658A9F2C">
            <w:pPr>
              <w:pStyle w:val="15"/>
              <w:spacing w:line="600" w:lineRule="exact"/>
              <w:rPr>
                <w:rFonts w:hint="eastAsia"/>
                <w:color w:val="000000"/>
                <w:kern w:val="2"/>
                <w:szCs w:val="24"/>
                <w:highlight w:val="none"/>
              </w:rPr>
            </w:pPr>
          </w:p>
        </w:tc>
        <w:tc>
          <w:tcPr>
            <w:tcW w:w="1597" w:type="dxa"/>
            <w:noWrap w:val="0"/>
            <w:vAlign w:val="top"/>
          </w:tcPr>
          <w:p w14:paraId="0E024DF9">
            <w:pPr>
              <w:pStyle w:val="15"/>
              <w:spacing w:line="600" w:lineRule="exact"/>
              <w:rPr>
                <w:rFonts w:hint="eastAsia"/>
                <w:color w:val="000000"/>
                <w:kern w:val="2"/>
                <w:szCs w:val="24"/>
                <w:highlight w:val="none"/>
              </w:rPr>
            </w:pPr>
          </w:p>
        </w:tc>
      </w:tr>
      <w:tr w14:paraId="066C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74F65C2">
            <w:pPr>
              <w:pStyle w:val="15"/>
              <w:spacing w:line="600" w:lineRule="exact"/>
              <w:rPr>
                <w:rFonts w:hint="eastAsia"/>
                <w:color w:val="000000"/>
                <w:kern w:val="2"/>
                <w:szCs w:val="24"/>
                <w:highlight w:val="none"/>
              </w:rPr>
            </w:pPr>
          </w:p>
        </w:tc>
        <w:tc>
          <w:tcPr>
            <w:tcW w:w="1771" w:type="dxa"/>
            <w:noWrap w:val="0"/>
            <w:vAlign w:val="top"/>
          </w:tcPr>
          <w:p w14:paraId="799F305E">
            <w:pPr>
              <w:pStyle w:val="15"/>
              <w:spacing w:line="600" w:lineRule="exact"/>
              <w:rPr>
                <w:rFonts w:hint="eastAsia"/>
                <w:color w:val="000000"/>
                <w:kern w:val="2"/>
                <w:szCs w:val="24"/>
                <w:highlight w:val="none"/>
              </w:rPr>
            </w:pPr>
          </w:p>
        </w:tc>
        <w:tc>
          <w:tcPr>
            <w:tcW w:w="1802" w:type="dxa"/>
            <w:noWrap w:val="0"/>
            <w:vAlign w:val="top"/>
          </w:tcPr>
          <w:p w14:paraId="50F2E008">
            <w:pPr>
              <w:pStyle w:val="15"/>
              <w:spacing w:line="600" w:lineRule="exact"/>
              <w:rPr>
                <w:rFonts w:hint="eastAsia"/>
                <w:color w:val="000000"/>
                <w:kern w:val="2"/>
                <w:szCs w:val="24"/>
                <w:highlight w:val="none"/>
              </w:rPr>
            </w:pPr>
          </w:p>
        </w:tc>
        <w:tc>
          <w:tcPr>
            <w:tcW w:w="1597" w:type="dxa"/>
            <w:noWrap w:val="0"/>
            <w:vAlign w:val="top"/>
          </w:tcPr>
          <w:p w14:paraId="3941F241">
            <w:pPr>
              <w:pStyle w:val="15"/>
              <w:spacing w:line="600" w:lineRule="exact"/>
              <w:rPr>
                <w:rFonts w:hint="eastAsia"/>
                <w:color w:val="000000"/>
                <w:kern w:val="2"/>
                <w:szCs w:val="24"/>
                <w:highlight w:val="none"/>
              </w:rPr>
            </w:pPr>
          </w:p>
        </w:tc>
        <w:tc>
          <w:tcPr>
            <w:tcW w:w="1597" w:type="dxa"/>
            <w:noWrap w:val="0"/>
            <w:vAlign w:val="top"/>
          </w:tcPr>
          <w:p w14:paraId="708375D7">
            <w:pPr>
              <w:pStyle w:val="15"/>
              <w:spacing w:line="600" w:lineRule="exact"/>
              <w:rPr>
                <w:rFonts w:hint="eastAsia"/>
                <w:color w:val="000000"/>
                <w:kern w:val="2"/>
                <w:szCs w:val="24"/>
                <w:highlight w:val="none"/>
              </w:rPr>
            </w:pPr>
          </w:p>
        </w:tc>
        <w:tc>
          <w:tcPr>
            <w:tcW w:w="1597" w:type="dxa"/>
            <w:noWrap w:val="0"/>
            <w:vAlign w:val="top"/>
          </w:tcPr>
          <w:p w14:paraId="6271D918">
            <w:pPr>
              <w:pStyle w:val="15"/>
              <w:spacing w:line="600" w:lineRule="exact"/>
              <w:rPr>
                <w:rFonts w:hint="eastAsia"/>
                <w:color w:val="000000"/>
                <w:kern w:val="2"/>
                <w:szCs w:val="24"/>
                <w:highlight w:val="none"/>
              </w:rPr>
            </w:pPr>
          </w:p>
        </w:tc>
      </w:tr>
      <w:tr w14:paraId="1F51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5360659">
            <w:pPr>
              <w:pStyle w:val="15"/>
              <w:spacing w:line="600" w:lineRule="exact"/>
              <w:rPr>
                <w:rFonts w:hint="eastAsia"/>
                <w:color w:val="000000"/>
                <w:kern w:val="2"/>
                <w:szCs w:val="24"/>
                <w:highlight w:val="none"/>
              </w:rPr>
            </w:pPr>
          </w:p>
        </w:tc>
        <w:tc>
          <w:tcPr>
            <w:tcW w:w="1771" w:type="dxa"/>
            <w:noWrap w:val="0"/>
            <w:vAlign w:val="top"/>
          </w:tcPr>
          <w:p w14:paraId="7A311411">
            <w:pPr>
              <w:pStyle w:val="15"/>
              <w:spacing w:line="600" w:lineRule="exact"/>
              <w:rPr>
                <w:rFonts w:hint="eastAsia"/>
                <w:color w:val="000000"/>
                <w:kern w:val="2"/>
                <w:szCs w:val="24"/>
                <w:highlight w:val="none"/>
              </w:rPr>
            </w:pPr>
          </w:p>
        </w:tc>
        <w:tc>
          <w:tcPr>
            <w:tcW w:w="1802" w:type="dxa"/>
            <w:noWrap w:val="0"/>
            <w:vAlign w:val="top"/>
          </w:tcPr>
          <w:p w14:paraId="56B29BAD">
            <w:pPr>
              <w:pStyle w:val="15"/>
              <w:spacing w:line="600" w:lineRule="exact"/>
              <w:rPr>
                <w:rFonts w:hint="eastAsia"/>
                <w:color w:val="000000"/>
                <w:kern w:val="2"/>
                <w:szCs w:val="24"/>
                <w:highlight w:val="none"/>
              </w:rPr>
            </w:pPr>
          </w:p>
        </w:tc>
        <w:tc>
          <w:tcPr>
            <w:tcW w:w="1597" w:type="dxa"/>
            <w:noWrap w:val="0"/>
            <w:vAlign w:val="top"/>
          </w:tcPr>
          <w:p w14:paraId="38714659">
            <w:pPr>
              <w:pStyle w:val="15"/>
              <w:spacing w:line="600" w:lineRule="exact"/>
              <w:rPr>
                <w:rFonts w:hint="eastAsia"/>
                <w:color w:val="000000"/>
                <w:kern w:val="2"/>
                <w:szCs w:val="24"/>
                <w:highlight w:val="none"/>
              </w:rPr>
            </w:pPr>
          </w:p>
        </w:tc>
        <w:tc>
          <w:tcPr>
            <w:tcW w:w="1597" w:type="dxa"/>
            <w:noWrap w:val="0"/>
            <w:vAlign w:val="top"/>
          </w:tcPr>
          <w:p w14:paraId="02E9985B">
            <w:pPr>
              <w:pStyle w:val="15"/>
              <w:spacing w:line="600" w:lineRule="exact"/>
              <w:rPr>
                <w:rFonts w:hint="eastAsia"/>
                <w:color w:val="000000"/>
                <w:kern w:val="2"/>
                <w:szCs w:val="24"/>
                <w:highlight w:val="none"/>
              </w:rPr>
            </w:pPr>
          </w:p>
        </w:tc>
        <w:tc>
          <w:tcPr>
            <w:tcW w:w="1597" w:type="dxa"/>
            <w:noWrap w:val="0"/>
            <w:vAlign w:val="top"/>
          </w:tcPr>
          <w:p w14:paraId="04494972">
            <w:pPr>
              <w:pStyle w:val="15"/>
              <w:spacing w:line="600" w:lineRule="exact"/>
              <w:rPr>
                <w:rFonts w:hint="eastAsia"/>
                <w:color w:val="000000"/>
                <w:kern w:val="2"/>
                <w:szCs w:val="24"/>
                <w:highlight w:val="none"/>
              </w:rPr>
            </w:pPr>
          </w:p>
        </w:tc>
      </w:tr>
      <w:tr w14:paraId="3E23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F7AC3C4">
            <w:pPr>
              <w:pStyle w:val="15"/>
              <w:spacing w:line="600" w:lineRule="exact"/>
              <w:rPr>
                <w:rFonts w:hint="eastAsia"/>
                <w:color w:val="000000"/>
                <w:kern w:val="2"/>
                <w:szCs w:val="24"/>
                <w:highlight w:val="none"/>
              </w:rPr>
            </w:pPr>
          </w:p>
        </w:tc>
        <w:tc>
          <w:tcPr>
            <w:tcW w:w="1771" w:type="dxa"/>
            <w:noWrap w:val="0"/>
            <w:vAlign w:val="top"/>
          </w:tcPr>
          <w:p w14:paraId="4E04BF80">
            <w:pPr>
              <w:pStyle w:val="15"/>
              <w:spacing w:line="600" w:lineRule="exact"/>
              <w:rPr>
                <w:rFonts w:hint="eastAsia"/>
                <w:color w:val="000000"/>
                <w:kern w:val="2"/>
                <w:szCs w:val="24"/>
                <w:highlight w:val="none"/>
              </w:rPr>
            </w:pPr>
          </w:p>
        </w:tc>
        <w:tc>
          <w:tcPr>
            <w:tcW w:w="1802" w:type="dxa"/>
            <w:noWrap w:val="0"/>
            <w:vAlign w:val="top"/>
          </w:tcPr>
          <w:p w14:paraId="72F0FB83">
            <w:pPr>
              <w:pStyle w:val="15"/>
              <w:spacing w:line="600" w:lineRule="exact"/>
              <w:rPr>
                <w:rFonts w:hint="eastAsia"/>
                <w:color w:val="000000"/>
                <w:kern w:val="2"/>
                <w:szCs w:val="24"/>
                <w:highlight w:val="none"/>
              </w:rPr>
            </w:pPr>
          </w:p>
        </w:tc>
        <w:tc>
          <w:tcPr>
            <w:tcW w:w="1597" w:type="dxa"/>
            <w:noWrap w:val="0"/>
            <w:vAlign w:val="top"/>
          </w:tcPr>
          <w:p w14:paraId="778EE39B">
            <w:pPr>
              <w:pStyle w:val="15"/>
              <w:spacing w:line="600" w:lineRule="exact"/>
              <w:rPr>
                <w:rFonts w:hint="eastAsia"/>
                <w:color w:val="000000"/>
                <w:kern w:val="2"/>
                <w:szCs w:val="24"/>
                <w:highlight w:val="none"/>
              </w:rPr>
            </w:pPr>
          </w:p>
        </w:tc>
        <w:tc>
          <w:tcPr>
            <w:tcW w:w="1597" w:type="dxa"/>
            <w:noWrap w:val="0"/>
            <w:vAlign w:val="top"/>
          </w:tcPr>
          <w:p w14:paraId="068A9462">
            <w:pPr>
              <w:pStyle w:val="15"/>
              <w:spacing w:line="600" w:lineRule="exact"/>
              <w:rPr>
                <w:rFonts w:hint="eastAsia"/>
                <w:color w:val="000000"/>
                <w:kern w:val="2"/>
                <w:szCs w:val="24"/>
                <w:highlight w:val="none"/>
              </w:rPr>
            </w:pPr>
          </w:p>
        </w:tc>
        <w:tc>
          <w:tcPr>
            <w:tcW w:w="1597" w:type="dxa"/>
            <w:noWrap w:val="0"/>
            <w:vAlign w:val="top"/>
          </w:tcPr>
          <w:p w14:paraId="46AFCAE7">
            <w:pPr>
              <w:pStyle w:val="15"/>
              <w:spacing w:line="600" w:lineRule="exact"/>
              <w:rPr>
                <w:rFonts w:hint="eastAsia"/>
                <w:color w:val="000000"/>
                <w:kern w:val="2"/>
                <w:szCs w:val="24"/>
                <w:highlight w:val="none"/>
              </w:rPr>
            </w:pPr>
          </w:p>
        </w:tc>
      </w:tr>
      <w:tr w14:paraId="09D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5392796">
            <w:pPr>
              <w:pStyle w:val="15"/>
              <w:spacing w:line="600" w:lineRule="exact"/>
              <w:rPr>
                <w:rFonts w:hint="eastAsia"/>
                <w:color w:val="000000"/>
                <w:kern w:val="2"/>
                <w:szCs w:val="24"/>
                <w:highlight w:val="none"/>
              </w:rPr>
            </w:pPr>
          </w:p>
        </w:tc>
        <w:tc>
          <w:tcPr>
            <w:tcW w:w="1771" w:type="dxa"/>
            <w:noWrap w:val="0"/>
            <w:vAlign w:val="top"/>
          </w:tcPr>
          <w:p w14:paraId="11B85DA8">
            <w:pPr>
              <w:pStyle w:val="15"/>
              <w:spacing w:line="600" w:lineRule="exact"/>
              <w:rPr>
                <w:rFonts w:hint="eastAsia"/>
                <w:color w:val="000000"/>
                <w:kern w:val="2"/>
                <w:szCs w:val="24"/>
                <w:highlight w:val="none"/>
              </w:rPr>
            </w:pPr>
          </w:p>
        </w:tc>
        <w:tc>
          <w:tcPr>
            <w:tcW w:w="1802" w:type="dxa"/>
            <w:noWrap w:val="0"/>
            <w:vAlign w:val="top"/>
          </w:tcPr>
          <w:p w14:paraId="1A27163C">
            <w:pPr>
              <w:pStyle w:val="15"/>
              <w:spacing w:line="600" w:lineRule="exact"/>
              <w:rPr>
                <w:rFonts w:hint="eastAsia"/>
                <w:color w:val="000000"/>
                <w:kern w:val="2"/>
                <w:szCs w:val="24"/>
                <w:highlight w:val="none"/>
              </w:rPr>
            </w:pPr>
          </w:p>
        </w:tc>
        <w:tc>
          <w:tcPr>
            <w:tcW w:w="1597" w:type="dxa"/>
            <w:noWrap w:val="0"/>
            <w:vAlign w:val="top"/>
          </w:tcPr>
          <w:p w14:paraId="6B079DE9">
            <w:pPr>
              <w:pStyle w:val="15"/>
              <w:spacing w:line="600" w:lineRule="exact"/>
              <w:rPr>
                <w:rFonts w:hint="eastAsia"/>
                <w:color w:val="000000"/>
                <w:kern w:val="2"/>
                <w:szCs w:val="24"/>
                <w:highlight w:val="none"/>
              </w:rPr>
            </w:pPr>
          </w:p>
        </w:tc>
        <w:tc>
          <w:tcPr>
            <w:tcW w:w="1597" w:type="dxa"/>
            <w:noWrap w:val="0"/>
            <w:vAlign w:val="top"/>
          </w:tcPr>
          <w:p w14:paraId="33980B7B">
            <w:pPr>
              <w:pStyle w:val="15"/>
              <w:spacing w:line="600" w:lineRule="exact"/>
              <w:rPr>
                <w:rFonts w:hint="eastAsia"/>
                <w:color w:val="000000"/>
                <w:kern w:val="2"/>
                <w:szCs w:val="24"/>
                <w:highlight w:val="none"/>
              </w:rPr>
            </w:pPr>
          </w:p>
        </w:tc>
        <w:tc>
          <w:tcPr>
            <w:tcW w:w="1597" w:type="dxa"/>
            <w:noWrap w:val="0"/>
            <w:vAlign w:val="top"/>
          </w:tcPr>
          <w:p w14:paraId="7101470C">
            <w:pPr>
              <w:pStyle w:val="15"/>
              <w:spacing w:line="600" w:lineRule="exact"/>
              <w:rPr>
                <w:rFonts w:hint="eastAsia"/>
                <w:color w:val="000000"/>
                <w:kern w:val="2"/>
                <w:szCs w:val="24"/>
                <w:highlight w:val="none"/>
              </w:rPr>
            </w:pPr>
          </w:p>
        </w:tc>
      </w:tr>
      <w:tr w14:paraId="5BCF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F8A42CF">
            <w:pPr>
              <w:pStyle w:val="15"/>
              <w:spacing w:line="600" w:lineRule="exact"/>
              <w:rPr>
                <w:rFonts w:hint="eastAsia"/>
                <w:color w:val="000000"/>
                <w:kern w:val="2"/>
                <w:szCs w:val="24"/>
                <w:highlight w:val="none"/>
              </w:rPr>
            </w:pPr>
          </w:p>
        </w:tc>
        <w:tc>
          <w:tcPr>
            <w:tcW w:w="1771" w:type="dxa"/>
            <w:noWrap w:val="0"/>
            <w:vAlign w:val="top"/>
          </w:tcPr>
          <w:p w14:paraId="1C6B031D">
            <w:pPr>
              <w:pStyle w:val="15"/>
              <w:spacing w:line="600" w:lineRule="exact"/>
              <w:rPr>
                <w:rFonts w:hint="eastAsia"/>
                <w:color w:val="000000"/>
                <w:kern w:val="2"/>
                <w:szCs w:val="24"/>
                <w:highlight w:val="none"/>
              </w:rPr>
            </w:pPr>
          </w:p>
        </w:tc>
        <w:tc>
          <w:tcPr>
            <w:tcW w:w="1802" w:type="dxa"/>
            <w:noWrap w:val="0"/>
            <w:vAlign w:val="top"/>
          </w:tcPr>
          <w:p w14:paraId="024382C1">
            <w:pPr>
              <w:pStyle w:val="15"/>
              <w:spacing w:line="600" w:lineRule="exact"/>
              <w:rPr>
                <w:rFonts w:hint="eastAsia"/>
                <w:color w:val="000000"/>
                <w:kern w:val="2"/>
                <w:szCs w:val="24"/>
                <w:highlight w:val="none"/>
              </w:rPr>
            </w:pPr>
          </w:p>
        </w:tc>
        <w:tc>
          <w:tcPr>
            <w:tcW w:w="1597" w:type="dxa"/>
            <w:noWrap w:val="0"/>
            <w:vAlign w:val="top"/>
          </w:tcPr>
          <w:p w14:paraId="6ABBA75B">
            <w:pPr>
              <w:pStyle w:val="15"/>
              <w:spacing w:line="600" w:lineRule="exact"/>
              <w:rPr>
                <w:rFonts w:hint="eastAsia"/>
                <w:color w:val="000000"/>
                <w:kern w:val="2"/>
                <w:szCs w:val="24"/>
                <w:highlight w:val="none"/>
              </w:rPr>
            </w:pPr>
          </w:p>
        </w:tc>
        <w:tc>
          <w:tcPr>
            <w:tcW w:w="1597" w:type="dxa"/>
            <w:noWrap w:val="0"/>
            <w:vAlign w:val="top"/>
          </w:tcPr>
          <w:p w14:paraId="72E3DF41">
            <w:pPr>
              <w:pStyle w:val="15"/>
              <w:spacing w:line="600" w:lineRule="exact"/>
              <w:rPr>
                <w:rFonts w:hint="eastAsia"/>
                <w:color w:val="000000"/>
                <w:kern w:val="2"/>
                <w:szCs w:val="24"/>
                <w:highlight w:val="none"/>
              </w:rPr>
            </w:pPr>
          </w:p>
        </w:tc>
        <w:tc>
          <w:tcPr>
            <w:tcW w:w="1597" w:type="dxa"/>
            <w:noWrap w:val="0"/>
            <w:vAlign w:val="top"/>
          </w:tcPr>
          <w:p w14:paraId="5205D10E">
            <w:pPr>
              <w:pStyle w:val="15"/>
              <w:spacing w:line="600" w:lineRule="exact"/>
              <w:rPr>
                <w:rFonts w:hint="eastAsia"/>
                <w:color w:val="000000"/>
                <w:kern w:val="2"/>
                <w:szCs w:val="24"/>
                <w:highlight w:val="none"/>
              </w:rPr>
            </w:pPr>
          </w:p>
        </w:tc>
      </w:tr>
    </w:tbl>
    <w:p w14:paraId="51CE3CF5">
      <w:pPr>
        <w:jc w:val="center"/>
        <w:rPr>
          <w:rFonts w:hint="eastAsia" w:ascii="宋体" w:hAnsi="宋体" w:cs="宋体"/>
          <w:b w:val="0"/>
          <w:bCs w:val="0"/>
          <w:color w:val="auto"/>
          <w:sz w:val="36"/>
          <w:szCs w:val="36"/>
          <w:highlight w:val="none"/>
          <w:lang w:val="en-US" w:eastAsia="zh-CN"/>
        </w:rPr>
      </w:pPr>
    </w:p>
    <w:p w14:paraId="65D38DD3">
      <w:pPr>
        <w:rPr>
          <w:rFonts w:hint="eastAsia" w:ascii="宋体" w:hAnsi="宋体" w:cs="宋体"/>
          <w:color w:val="auto"/>
          <w:highlight w:val="none"/>
        </w:rPr>
      </w:pPr>
      <w:r>
        <w:rPr>
          <w:rFonts w:hint="eastAsia" w:ascii="宋体" w:hAnsi="宋体" w:cs="宋体"/>
          <w:color w:val="auto"/>
          <w:highlight w:val="none"/>
        </w:rPr>
        <w:t>注：1、响应/偏离内容应在说明栏中说明该条款在</w:t>
      </w:r>
      <w:r>
        <w:rPr>
          <w:rFonts w:hint="eastAsia" w:ascii="宋体" w:hAnsi="宋体" w:cs="宋体"/>
          <w:color w:val="auto"/>
          <w:highlight w:val="none"/>
          <w:lang w:val="en-US" w:eastAsia="zh-CN"/>
        </w:rPr>
        <w:t>参选</w:t>
      </w:r>
      <w:r>
        <w:rPr>
          <w:rFonts w:hint="eastAsia" w:ascii="宋体" w:hAnsi="宋体" w:cs="宋体"/>
          <w:color w:val="auto"/>
          <w:highlight w:val="none"/>
        </w:rPr>
        <w:t>文件中（或页码）的依据；</w:t>
      </w:r>
    </w:p>
    <w:p w14:paraId="114150C0">
      <w:pPr>
        <w:rPr>
          <w:rFonts w:hint="eastAsia" w:ascii="宋体" w:hAnsi="宋体" w:cs="宋体"/>
          <w:color w:val="auto"/>
          <w:highlight w:val="none"/>
        </w:rPr>
      </w:pPr>
      <w:r>
        <w:rPr>
          <w:rFonts w:hint="eastAsia" w:ascii="宋体" w:hAnsi="宋体" w:cs="宋体"/>
          <w:color w:val="auto"/>
          <w:highlight w:val="none"/>
        </w:rPr>
        <w:t xml:space="preserve">    2、</w:t>
      </w:r>
      <w:r>
        <w:rPr>
          <w:rFonts w:hint="eastAsia" w:ascii="宋体" w:hAnsi="宋体" w:cs="宋体"/>
          <w:color w:val="auto"/>
          <w:highlight w:val="none"/>
          <w:lang w:val="en-US"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参选人</w:t>
      </w:r>
      <w:r>
        <w:rPr>
          <w:rFonts w:hint="eastAsia" w:ascii="宋体" w:hAnsi="宋体" w:cs="宋体"/>
          <w:color w:val="auto"/>
          <w:highlight w:val="none"/>
        </w:rPr>
        <w:t>承担。</w:t>
      </w:r>
    </w:p>
    <w:p w14:paraId="7ED3B4FC">
      <w:pPr>
        <w:rPr>
          <w:rFonts w:hint="eastAsia" w:ascii="宋体" w:hAnsi="宋体" w:cs="宋体"/>
          <w:color w:val="auto"/>
          <w:highlight w:val="none"/>
        </w:rPr>
      </w:pPr>
    </w:p>
    <w:p w14:paraId="0DD6263D">
      <w:pPr>
        <w:rPr>
          <w:rFonts w:hint="eastAsia" w:ascii="宋体" w:hAnsi="宋体" w:cs="宋体"/>
          <w:color w:val="auto"/>
          <w:highlight w:val="none"/>
        </w:rPr>
      </w:pPr>
    </w:p>
    <w:p w14:paraId="50B4C343">
      <w:pPr>
        <w:rPr>
          <w:rFonts w:hint="eastAsia" w:ascii="宋体" w:hAnsi="宋体" w:cs="宋体"/>
          <w:color w:val="auto"/>
          <w:sz w:val="24"/>
          <w:szCs w:val="24"/>
          <w:highlight w:val="none"/>
        </w:rPr>
      </w:pPr>
    </w:p>
    <w:p w14:paraId="42AC773F">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672BFCAB">
      <w:pPr>
        <w:pStyle w:val="15"/>
        <w:jc w:val="right"/>
        <w:rPr>
          <w:rFonts w:hint="eastAsia" w:hAnsi="宋体" w:cs="宋体"/>
          <w:color w:val="auto"/>
          <w:sz w:val="24"/>
          <w:szCs w:val="24"/>
          <w:highlight w:val="none"/>
        </w:rPr>
      </w:pPr>
    </w:p>
    <w:p w14:paraId="6DBD6085">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672C37E1">
      <w:pPr>
        <w:pStyle w:val="15"/>
        <w:jc w:val="right"/>
        <w:rPr>
          <w:rFonts w:hint="eastAsia" w:hAnsi="宋体" w:cs="宋体"/>
          <w:color w:val="auto"/>
          <w:sz w:val="24"/>
          <w:szCs w:val="24"/>
          <w:highlight w:val="none"/>
        </w:rPr>
      </w:pPr>
    </w:p>
    <w:p w14:paraId="3CFDFD8B">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2F2AADDD">
      <w:pPr>
        <w:rPr>
          <w:rFonts w:hint="eastAsia" w:ascii="宋体" w:hAnsi="宋体" w:cs="宋体"/>
          <w:b/>
          <w:bCs/>
          <w:color w:val="auto"/>
          <w:sz w:val="36"/>
          <w:szCs w:val="36"/>
          <w:highlight w:val="none"/>
          <w:lang w:val="en-US" w:eastAsia="zh-CN"/>
        </w:rPr>
      </w:pPr>
    </w:p>
    <w:p w14:paraId="270E8D45">
      <w:pPr>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br w:type="page"/>
      </w: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、法定代表人授权书</w:t>
      </w:r>
      <w:bookmarkEnd w:id="53"/>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4" w:name="_Toc324678975"/>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4"/>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5"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1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、资格证明文件</w:t>
      </w:r>
      <w:bookmarkEnd w:id="55"/>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6"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7" w:name="_Toc12395"/>
      <w:bookmarkStart w:id="58" w:name="_Toc99713455"/>
      <w:bookmarkStart w:id="59" w:name="_Toc99713342"/>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w:t>
      </w:r>
      <w:bookmarkEnd w:id="57"/>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8"/>
      <w:bookmarkEnd w:id="59"/>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8</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10</w:t>
      </w:r>
      <w:r>
        <w:rPr>
          <w:rFonts w:hint="eastAsia" w:ascii="宋体" w:hAnsi="宋体" w:cs="宋体"/>
          <w:b/>
          <w:bCs/>
          <w:color w:val="auto"/>
          <w:sz w:val="36"/>
          <w:szCs w:val="36"/>
          <w:highlight w:val="none"/>
        </w:rPr>
        <w:t>、</w:t>
      </w:r>
      <w:bookmarkEnd w:id="56"/>
      <w:r>
        <w:rPr>
          <w:rFonts w:hint="eastAsia" w:ascii="宋体" w:hAnsi="宋体" w:cs="宋体"/>
          <w:b/>
          <w:bCs/>
          <w:color w:val="auto"/>
          <w:sz w:val="36"/>
          <w:szCs w:val="36"/>
          <w:highlight w:val="none"/>
          <w:lang w:val="en-US" w:eastAsia="zh-CN"/>
        </w:rPr>
        <w:t>技术方案</w:t>
      </w:r>
    </w:p>
    <w:p w14:paraId="6E81FC86">
      <w:pPr>
        <w:rPr>
          <w:rFonts w:hint="eastAsia" w:ascii="宋体" w:hAnsi="宋体" w:cs="宋体"/>
          <w:color w:val="auto"/>
          <w:kern w:val="0"/>
          <w:sz w:val="24"/>
          <w:szCs w:val="24"/>
          <w:highlight w:val="none"/>
        </w:rPr>
      </w:pP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0"/>
    <w:p w14:paraId="6F408CCC">
      <w:pPr>
        <w:jc w:val="center"/>
        <w:rPr>
          <w:rFonts w:hint="eastAsia" w:ascii="宋体" w:hAnsi="宋体" w:eastAsia="宋体" w:cs="宋体"/>
          <w:b/>
          <w:color w:val="auto"/>
          <w:sz w:val="28"/>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1</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956DCF"/>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8A2B99"/>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34739F"/>
    <w:rsid w:val="0B3543DB"/>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249F4"/>
    <w:rsid w:val="0DF708E4"/>
    <w:rsid w:val="0E0C3E24"/>
    <w:rsid w:val="0E5C3669"/>
    <w:rsid w:val="0E6869AA"/>
    <w:rsid w:val="0E6C0EED"/>
    <w:rsid w:val="0E79794F"/>
    <w:rsid w:val="0E8C4A31"/>
    <w:rsid w:val="0E9E6512"/>
    <w:rsid w:val="0EB2020F"/>
    <w:rsid w:val="0EB977F0"/>
    <w:rsid w:val="0ED34CF7"/>
    <w:rsid w:val="0EEC7BA6"/>
    <w:rsid w:val="0EFD4D2D"/>
    <w:rsid w:val="0F1F6CBB"/>
    <w:rsid w:val="0F6159A2"/>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5FD6214"/>
    <w:rsid w:val="16605DED"/>
    <w:rsid w:val="16610152"/>
    <w:rsid w:val="16B66298"/>
    <w:rsid w:val="16BA0495"/>
    <w:rsid w:val="16D21D27"/>
    <w:rsid w:val="170535D2"/>
    <w:rsid w:val="17167C82"/>
    <w:rsid w:val="172A4ACD"/>
    <w:rsid w:val="17312619"/>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46158C"/>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2D74EE2"/>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957987"/>
    <w:rsid w:val="2DE23F54"/>
    <w:rsid w:val="2DF16F3B"/>
    <w:rsid w:val="2E044338"/>
    <w:rsid w:val="2E0D090C"/>
    <w:rsid w:val="2E66398B"/>
    <w:rsid w:val="2E7740E9"/>
    <w:rsid w:val="2E777886"/>
    <w:rsid w:val="2ECF2E25"/>
    <w:rsid w:val="2EF452FB"/>
    <w:rsid w:val="2F0B32F8"/>
    <w:rsid w:val="2F1A4FD5"/>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6317E"/>
    <w:rsid w:val="327E4F11"/>
    <w:rsid w:val="32822998"/>
    <w:rsid w:val="328E4A64"/>
    <w:rsid w:val="32A01E64"/>
    <w:rsid w:val="32AB77DD"/>
    <w:rsid w:val="32C52348"/>
    <w:rsid w:val="32FA0324"/>
    <w:rsid w:val="33861E21"/>
    <w:rsid w:val="338813BB"/>
    <w:rsid w:val="33C10429"/>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7C97306"/>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7F113E"/>
    <w:rsid w:val="3BA507B1"/>
    <w:rsid w:val="3C035857"/>
    <w:rsid w:val="3C221C81"/>
    <w:rsid w:val="3C291313"/>
    <w:rsid w:val="3CA01523"/>
    <w:rsid w:val="3CAB0364"/>
    <w:rsid w:val="3CBB6C30"/>
    <w:rsid w:val="3DB15F42"/>
    <w:rsid w:val="3DDA4089"/>
    <w:rsid w:val="3E151B31"/>
    <w:rsid w:val="3E2F57D6"/>
    <w:rsid w:val="3E5D2F2F"/>
    <w:rsid w:val="3E734A37"/>
    <w:rsid w:val="3E8E2733"/>
    <w:rsid w:val="3EA92FC7"/>
    <w:rsid w:val="3EBA2645"/>
    <w:rsid w:val="3ECC05DE"/>
    <w:rsid w:val="3F024E9A"/>
    <w:rsid w:val="3F38781A"/>
    <w:rsid w:val="3F7A5F57"/>
    <w:rsid w:val="3FD9190E"/>
    <w:rsid w:val="40214084"/>
    <w:rsid w:val="40967D84"/>
    <w:rsid w:val="409A12D2"/>
    <w:rsid w:val="40F65292"/>
    <w:rsid w:val="40FD375C"/>
    <w:rsid w:val="411B0E77"/>
    <w:rsid w:val="41234E8B"/>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4078D3"/>
    <w:rsid w:val="46717E46"/>
    <w:rsid w:val="46BA2FBB"/>
    <w:rsid w:val="46C2653A"/>
    <w:rsid w:val="46DE0DE1"/>
    <w:rsid w:val="47002147"/>
    <w:rsid w:val="47277DB0"/>
    <w:rsid w:val="47681F8B"/>
    <w:rsid w:val="47683DA1"/>
    <w:rsid w:val="476D399F"/>
    <w:rsid w:val="477647C2"/>
    <w:rsid w:val="47C44006"/>
    <w:rsid w:val="484F02A2"/>
    <w:rsid w:val="48694386"/>
    <w:rsid w:val="4884619D"/>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7162AD"/>
    <w:rsid w:val="4A8B4A7A"/>
    <w:rsid w:val="4A924CD5"/>
    <w:rsid w:val="4A9401EE"/>
    <w:rsid w:val="4A9D7E04"/>
    <w:rsid w:val="4B51066C"/>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8666DA"/>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64DF"/>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C01C5E"/>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240880"/>
    <w:rsid w:val="575925A3"/>
    <w:rsid w:val="576F0018"/>
    <w:rsid w:val="579A5688"/>
    <w:rsid w:val="57C55E8A"/>
    <w:rsid w:val="57C971CB"/>
    <w:rsid w:val="57D4652D"/>
    <w:rsid w:val="57E74053"/>
    <w:rsid w:val="58182E97"/>
    <w:rsid w:val="581E3DE2"/>
    <w:rsid w:val="58263B97"/>
    <w:rsid w:val="582901C7"/>
    <w:rsid w:val="58364D6D"/>
    <w:rsid w:val="58475B00"/>
    <w:rsid w:val="58981BE4"/>
    <w:rsid w:val="589F14D0"/>
    <w:rsid w:val="58B4208E"/>
    <w:rsid w:val="58E930DF"/>
    <w:rsid w:val="59153130"/>
    <w:rsid w:val="5972035B"/>
    <w:rsid w:val="598F49A2"/>
    <w:rsid w:val="59D2663D"/>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0D40E7"/>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4E22328"/>
    <w:rsid w:val="650249D7"/>
    <w:rsid w:val="65190998"/>
    <w:rsid w:val="654815BA"/>
    <w:rsid w:val="655346F0"/>
    <w:rsid w:val="655F4A2A"/>
    <w:rsid w:val="656D692F"/>
    <w:rsid w:val="6581707A"/>
    <w:rsid w:val="65D81772"/>
    <w:rsid w:val="66150F73"/>
    <w:rsid w:val="661E4002"/>
    <w:rsid w:val="663B3B08"/>
    <w:rsid w:val="664A412A"/>
    <w:rsid w:val="66B477F6"/>
    <w:rsid w:val="66C231EB"/>
    <w:rsid w:val="66D962DF"/>
    <w:rsid w:val="672410C5"/>
    <w:rsid w:val="673B1C5F"/>
    <w:rsid w:val="67A05FCC"/>
    <w:rsid w:val="67BE4817"/>
    <w:rsid w:val="68792AA5"/>
    <w:rsid w:val="68A94D3A"/>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B46016"/>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0F529A"/>
    <w:rsid w:val="70404269"/>
    <w:rsid w:val="70666D67"/>
    <w:rsid w:val="706E420D"/>
    <w:rsid w:val="70781894"/>
    <w:rsid w:val="70EC6D02"/>
    <w:rsid w:val="70F51845"/>
    <w:rsid w:val="71310C75"/>
    <w:rsid w:val="714B41D5"/>
    <w:rsid w:val="71627FFF"/>
    <w:rsid w:val="71C063CB"/>
    <w:rsid w:val="71FD793A"/>
    <w:rsid w:val="720E29F5"/>
    <w:rsid w:val="72600C41"/>
    <w:rsid w:val="72B24580"/>
    <w:rsid w:val="72EE397C"/>
    <w:rsid w:val="730B14F0"/>
    <w:rsid w:val="73141F2D"/>
    <w:rsid w:val="73264A06"/>
    <w:rsid w:val="73421A24"/>
    <w:rsid w:val="735D6FAF"/>
    <w:rsid w:val="73611E73"/>
    <w:rsid w:val="736C6F49"/>
    <w:rsid w:val="737D520E"/>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E7733"/>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5F432B"/>
    <w:rsid w:val="787C51E8"/>
    <w:rsid w:val="78B51C47"/>
    <w:rsid w:val="790D34AE"/>
    <w:rsid w:val="79604890"/>
    <w:rsid w:val="79A24A66"/>
    <w:rsid w:val="79EC3A28"/>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1F57F3"/>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37</Pages>
  <Words>11401</Words>
  <Characters>12445</Characters>
  <Lines>190</Lines>
  <Paragraphs>53</Paragraphs>
  <TotalTime>6</TotalTime>
  <ScaleCrop>false</ScaleCrop>
  <LinksUpToDate>false</LinksUpToDate>
  <CharactersWithSpaces>13859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2025-12-10T05:46:00Z</cp:lastPrinted>
  <dcterms:modified xsi:type="dcterms:W3CDTF">2025-12-11T03:33:20Z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5A4CD0F05C7F47D99E010F9139E96CC0_13</vt:lpwstr>
  </property>
  <property fmtid="{D5CDD505-2E9C-101B-9397-08002B2CF9AE}" pid="4" name="KSOTemplateDocerSaveRecord">
    <vt:lpwstr>eyJoZGlkIjoiYmExYTM2ZmQzZmRlZGIyMzE1ODBjOTAyMTRjODkyY2IiLCJ1c2VySWQiOiIzMjk0NDc0NjkifQ==</vt:lpwstr>
  </property>
</Properties>
</file>