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红谷滩区长江路人行道改造工程-主材采购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ZSGC2025CG025</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十</w:t>
      </w:r>
      <w:r>
        <w:rPr>
          <w:rFonts w:hint="eastAsia" w:ascii="宋体" w:hAnsi="宋体" w:cs="宋体"/>
          <w:b/>
          <w:color w:val="auto"/>
          <w:sz w:val="36"/>
          <w:highlight w:val="none"/>
          <w:lang w:val="en-US" w:eastAsia="zh-CN"/>
        </w:rPr>
        <w:t>二</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20</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红谷滩区长江路人行道改造工程-主材采购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ZSGC2025CG025</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ZSGC2025CG025</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红谷滩区长江路人行道改造工程-主材采购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729236.26</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32ECE2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3D7F0F0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具有良好的商业信誉和健全的财务会计制度；</w:t>
      </w:r>
    </w:p>
    <w:p w14:paraId="1291A8C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具有履行合同所必需的设备和专业技术能力；</w:t>
      </w:r>
    </w:p>
    <w:p w14:paraId="2996622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2399CD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14E778C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45583FB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5144FDA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2DB8C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39DC7F87">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bookmarkStart w:id="58" w:name="_GoBack"/>
      <w:bookmarkEnd w:id="58"/>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江西中善工程管理有限公司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红谷滩区长江路人行道改造工程-主材采购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ZSGC2025CG025</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柒</w:t>
            </w:r>
            <w:r>
              <w:rPr>
                <w:rFonts w:hint="eastAsia" w:ascii="宋体" w:hAnsi="宋体" w:cs="宋体"/>
                <w:color w:val="auto"/>
                <w:sz w:val="24"/>
                <w:szCs w:val="24"/>
                <w:highlight w:val="none"/>
                <w:lang w:val="en-US" w:eastAsia="zh-CN"/>
              </w:rPr>
              <w:t>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ZSGC2025CG025</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人民币肆仟肆佰陆拾柒元（¥4467元）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77982317"/>
      <w:bookmarkStart w:id="4" w:name="_Toc324678925"/>
      <w:bookmarkStart w:id="5" w:name="_Toc17175"/>
      <w:bookmarkStart w:id="6" w:name="_Toc31761"/>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江西中善工程管理有限公司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729236.26</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10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421"/>
        <w:gridCol w:w="1905"/>
        <w:gridCol w:w="705"/>
        <w:gridCol w:w="1110"/>
        <w:gridCol w:w="1305"/>
        <w:gridCol w:w="510"/>
        <w:gridCol w:w="1155"/>
        <w:gridCol w:w="1665"/>
      </w:tblGrid>
      <w:tr w14:paraId="4AC7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4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0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C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B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0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9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F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0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8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00E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5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6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热熔标线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C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4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5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D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0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B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r>
      <w:tr w14:paraId="202A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E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花岗岩树池石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6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芝麻灰，120*10*14cm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E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1175.04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2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9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F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28200.96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B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人行道及路沿石</w:t>
            </w:r>
          </w:p>
        </w:tc>
      </w:tr>
      <w:tr w14:paraId="5947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7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F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花岗岩路缘石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芝麻灰，70*15*29cm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A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3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1943.24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4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4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102991.72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3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人行道及路沿石、排水工程</w:t>
            </w:r>
          </w:p>
        </w:tc>
      </w:tr>
      <w:tr w14:paraId="03CD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花岗岩路缘石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3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芝麻灰，70*10*20cm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7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0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1809.92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0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0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45248.00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F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人行道及路沿石</w:t>
            </w:r>
          </w:p>
        </w:tc>
      </w:tr>
      <w:tr w14:paraId="67EA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2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21" w:type="dxa"/>
            <w:tcBorders>
              <w:top w:val="single" w:color="000000" w:sz="4" w:space="0"/>
              <w:left w:val="single" w:color="000000" w:sz="4" w:space="0"/>
              <w:bottom w:val="nil"/>
              <w:right w:val="single" w:color="000000" w:sz="4" w:space="0"/>
            </w:tcBorders>
            <w:shd w:val="clear" w:color="auto" w:fill="auto"/>
            <w:vAlign w:val="center"/>
          </w:tcPr>
          <w:p w14:paraId="3FD1E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车挡石</w:t>
            </w:r>
          </w:p>
        </w:tc>
        <w:tc>
          <w:tcPr>
            <w:tcW w:w="1905" w:type="dxa"/>
            <w:tcBorders>
              <w:top w:val="nil"/>
              <w:left w:val="nil"/>
              <w:bottom w:val="nil"/>
              <w:right w:val="nil"/>
            </w:tcBorders>
            <w:shd w:val="clear" w:color="auto" w:fill="auto"/>
            <w:vAlign w:val="center"/>
          </w:tcPr>
          <w:p w14:paraId="67032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花岗岩圆石柱，外露面磨光，直径φ25mm，含安装</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DB95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4380B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 </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5F78D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185.00 </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4FAC4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nil"/>
              <w:right w:val="single" w:color="000000" w:sz="4" w:space="0"/>
            </w:tcBorders>
            <w:shd w:val="clear" w:color="auto" w:fill="auto"/>
            <w:vAlign w:val="center"/>
          </w:tcPr>
          <w:p w14:paraId="737CA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17760.00 </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3E9F0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r>
      <w:tr w14:paraId="3FCA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A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8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U型挡车杆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7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φ76镀锌钢管150cm*20cm，间距1.5m，外贴黑黄相间反光膜，含安装，壁厚暂定2mm，据实结算调整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2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1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135.00 </w:t>
            </w:r>
          </w:p>
        </w:tc>
        <w:tc>
          <w:tcPr>
            <w:tcW w:w="510" w:type="dxa"/>
            <w:tcBorders>
              <w:top w:val="single" w:color="000000" w:sz="4" w:space="0"/>
              <w:left w:val="single" w:color="000000" w:sz="4" w:space="0"/>
              <w:bottom w:val="nil"/>
              <w:right w:val="single" w:color="000000" w:sz="4" w:space="0"/>
            </w:tcBorders>
            <w:shd w:val="clear" w:color="auto" w:fill="auto"/>
            <w:vAlign w:val="center"/>
          </w:tcPr>
          <w:p w14:paraId="2C1E6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nil"/>
              <w:right w:val="single" w:color="000000" w:sz="4" w:space="0"/>
            </w:tcBorders>
            <w:shd w:val="clear" w:color="auto" w:fill="auto"/>
            <w:vAlign w:val="center"/>
          </w:tcPr>
          <w:p w14:paraId="714CB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60750.00 </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440D8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r>
      <w:tr w14:paraId="6E41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1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普通球墨铸铁井盖、井座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A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C250级，φ700mm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C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C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1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363.80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E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9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12005.40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2927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B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普通球墨铸铁井盖、井座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4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C250级，φ950mm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1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C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A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8040.00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B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6EBA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1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3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普通球墨铸铁井盖、井座</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C250级，φ700mm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B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1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0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363.80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B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E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2546.60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E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地上式消火栓井</w:t>
            </w:r>
          </w:p>
        </w:tc>
      </w:tr>
      <w:tr w14:paraId="5C3A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5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防坠安全网</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5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防坠网网绳为高强度聚乙烯等耐潮防腐材料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9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8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B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C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D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A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21A8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D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防水防漏电连接器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BCB">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0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B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6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F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5128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F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5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6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VV-0.6/1KV-5*16mm2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0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8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1696.80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D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B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110292.00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D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0556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5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A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YJV-0.6/1KV-4*95+1*50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2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50.50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9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331.00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3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16715.50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9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3F15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3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绝缘导线</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BVVB-450/750V-3*2.5mm2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1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5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1114.76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4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1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4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6688.56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2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5CC4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B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A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7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9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9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1219.00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E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1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23161.00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1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0ACF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A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F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PE管接头</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0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A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1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223.96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4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C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447.92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8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6F09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D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B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DN150，K9级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C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F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D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9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5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5270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A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9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地上式消火栓</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B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SSF150/65-1.6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5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9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0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6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4550.00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3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550C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D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消火栓三通</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7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SSF150/65-1.6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5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4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0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B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1155.00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4E9D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8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2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细粒式沥青混凝土</w:t>
            </w:r>
          </w:p>
        </w:tc>
        <w:tc>
          <w:tcPr>
            <w:tcW w:w="1905" w:type="dxa"/>
            <w:tcBorders>
              <w:top w:val="nil"/>
              <w:left w:val="nil"/>
              <w:bottom w:val="nil"/>
              <w:right w:val="nil"/>
            </w:tcBorders>
            <w:shd w:val="clear" w:color="auto" w:fill="auto"/>
            <w:vAlign w:val="center"/>
          </w:tcPr>
          <w:p w14:paraId="77E6F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SBS改性细粒式沥青混凝土AC-13，5cm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9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3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3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E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D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沥青路面恢复，含摊铺、运输等一切费用</w:t>
            </w:r>
          </w:p>
        </w:tc>
      </w:tr>
      <w:tr w14:paraId="290F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8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4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透水混凝土</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9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E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0.81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0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2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315.90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E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人行道及进坡口</w:t>
            </w:r>
          </w:p>
        </w:tc>
      </w:tr>
      <w:tr w14:paraId="488A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9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透水混凝土</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B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B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506.40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4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A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217752.00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5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w:t>
            </w:r>
          </w:p>
        </w:tc>
      </w:tr>
      <w:tr w14:paraId="3F5C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9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7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透水混凝土表面喷漆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DBB3">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2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5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5606.57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7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A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4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56065.70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D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w:t>
            </w:r>
          </w:p>
        </w:tc>
      </w:tr>
      <w:tr w14:paraId="1A65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536" w:type="dxa"/>
            <w:gridSpan w:val="7"/>
            <w:tcBorders>
              <w:top w:val="single" w:color="000000" w:sz="4" w:space="0"/>
              <w:left w:val="single" w:color="000000" w:sz="4" w:space="0"/>
              <w:bottom w:val="single" w:color="000000" w:sz="4" w:space="0"/>
              <w:right w:val="nil"/>
            </w:tcBorders>
            <w:shd w:val="clear" w:color="auto" w:fill="auto"/>
            <w:vAlign w:val="center"/>
          </w:tcPr>
          <w:p w14:paraId="6E93FB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70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729236.26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57E2">
            <w:pPr>
              <w:jc w:val="center"/>
              <w:rPr>
                <w:rFonts w:hint="eastAsia" w:ascii="宋体" w:hAnsi="宋体" w:eastAsia="宋体" w:cs="宋体"/>
                <w:b/>
                <w:bCs/>
                <w:i w:val="0"/>
                <w:iCs w:val="0"/>
                <w:color w:val="000000"/>
                <w:sz w:val="18"/>
                <w:szCs w:val="18"/>
                <w:u w:val="none"/>
              </w:rPr>
            </w:pPr>
          </w:p>
        </w:tc>
      </w:tr>
      <w:tr w14:paraId="1620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10356" w:type="dxa"/>
            <w:gridSpan w:val="9"/>
            <w:tcBorders>
              <w:top w:val="nil"/>
              <w:left w:val="nil"/>
              <w:bottom w:val="nil"/>
              <w:right w:val="nil"/>
            </w:tcBorders>
            <w:shd w:val="clear" w:color="auto" w:fill="auto"/>
            <w:vAlign w:val="center"/>
          </w:tcPr>
          <w:p w14:paraId="62C7A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备注：1、以上含税单价均包括运、装卸到场费用；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3、暂估价材料结算据实调整。</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9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1905"/>
        <w:gridCol w:w="2082"/>
        <w:gridCol w:w="705"/>
        <w:gridCol w:w="1110"/>
        <w:gridCol w:w="663"/>
        <w:gridCol w:w="2362"/>
      </w:tblGrid>
      <w:tr w14:paraId="6D5F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1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4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1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C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A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F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C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FF4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0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0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热熔标线</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3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7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7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B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6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r>
      <w:tr w14:paraId="67C4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A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F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花岗岩树池石</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F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芝麻灰，120*10*14cm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4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9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1175.04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4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人行道及路沿石</w:t>
            </w:r>
          </w:p>
        </w:tc>
      </w:tr>
      <w:tr w14:paraId="5165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6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花岗岩路缘石</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5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芝麻灰，70*15*29cm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0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1943.24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人行道及路沿石、排水工程</w:t>
            </w:r>
          </w:p>
        </w:tc>
      </w:tr>
      <w:tr w14:paraId="739D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B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花岗岩路缘石</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0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芝麻灰，70*10*20cm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3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1809.92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F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人行道及路沿石</w:t>
            </w:r>
          </w:p>
        </w:tc>
      </w:tr>
      <w:tr w14:paraId="0D2F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05" w:type="dxa"/>
            <w:tcBorders>
              <w:top w:val="single" w:color="000000" w:sz="4" w:space="0"/>
              <w:left w:val="single" w:color="000000" w:sz="4" w:space="0"/>
              <w:bottom w:val="nil"/>
              <w:right w:val="single" w:color="000000" w:sz="4" w:space="0"/>
            </w:tcBorders>
            <w:shd w:val="clear" w:color="auto" w:fill="auto"/>
            <w:vAlign w:val="center"/>
          </w:tcPr>
          <w:p w14:paraId="06710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车挡石</w:t>
            </w:r>
          </w:p>
        </w:tc>
        <w:tc>
          <w:tcPr>
            <w:tcW w:w="2082" w:type="dxa"/>
            <w:tcBorders>
              <w:top w:val="nil"/>
              <w:left w:val="nil"/>
              <w:bottom w:val="nil"/>
              <w:right w:val="nil"/>
            </w:tcBorders>
            <w:shd w:val="clear" w:color="auto" w:fill="auto"/>
            <w:vAlign w:val="center"/>
          </w:tcPr>
          <w:p w14:paraId="2B1F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花岗岩圆石柱，外露面磨光，直径φ25mm，含安装</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8FEF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7A23F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 </w:t>
            </w:r>
          </w:p>
        </w:tc>
        <w:tc>
          <w:tcPr>
            <w:tcW w:w="663" w:type="dxa"/>
            <w:tcBorders>
              <w:top w:val="single" w:color="000000" w:sz="4" w:space="0"/>
              <w:left w:val="single" w:color="000000" w:sz="4" w:space="0"/>
              <w:bottom w:val="nil"/>
              <w:right w:val="single" w:color="000000" w:sz="4" w:space="0"/>
            </w:tcBorders>
            <w:shd w:val="clear" w:color="auto" w:fill="auto"/>
            <w:vAlign w:val="center"/>
          </w:tcPr>
          <w:p w14:paraId="13E0A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nil"/>
              <w:right w:val="single" w:color="000000" w:sz="4" w:space="0"/>
            </w:tcBorders>
            <w:shd w:val="clear" w:color="auto" w:fill="auto"/>
            <w:vAlign w:val="center"/>
          </w:tcPr>
          <w:p w14:paraId="2A64A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r>
      <w:tr w14:paraId="107E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7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U型挡车杆</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9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φ76镀锌钢管150cm*20cm，间距1.5m，外贴黑黄相间反光膜，含安装，壁厚暂定2mm，据实结算调整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4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A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663" w:type="dxa"/>
            <w:tcBorders>
              <w:top w:val="single" w:color="000000" w:sz="4" w:space="0"/>
              <w:left w:val="single" w:color="000000" w:sz="4" w:space="0"/>
              <w:bottom w:val="nil"/>
              <w:right w:val="single" w:color="000000" w:sz="4" w:space="0"/>
            </w:tcBorders>
            <w:shd w:val="clear" w:color="auto" w:fill="auto"/>
            <w:vAlign w:val="center"/>
          </w:tcPr>
          <w:p w14:paraId="04942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nil"/>
              <w:right w:val="single" w:color="000000" w:sz="4" w:space="0"/>
            </w:tcBorders>
            <w:shd w:val="clear" w:color="auto" w:fill="auto"/>
            <w:vAlign w:val="center"/>
          </w:tcPr>
          <w:p w14:paraId="3B4DE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其他工程</w:t>
            </w:r>
          </w:p>
        </w:tc>
      </w:tr>
      <w:tr w14:paraId="71B4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7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普通球墨铸铁井盖、井座</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C250级，φ700mm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B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B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410A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E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2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普通球墨铸铁井盖、井座</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C250级，φ950mm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6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3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A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6327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7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1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普通球墨铸铁井盖、井座</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4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C250级，φ700mm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C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F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C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地上式消火栓井</w:t>
            </w:r>
          </w:p>
        </w:tc>
      </w:tr>
      <w:tr w14:paraId="52DD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A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1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防坠安全网</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C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防坠网网绳为高强度聚乙烯等耐潮防腐材料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5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31D9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1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防水防漏电连接器</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1D0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1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D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1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1CE7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F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0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9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VV-0.6/1KV-5*16mm2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2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A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1696.80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9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6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02C7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E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1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YJV-0.6/1KV-4*95+1*50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F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50.50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1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1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6F14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0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D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绝缘导线</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A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BVVB-450/750V-3*2.5mm2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8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4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1114.76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7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7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0692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0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9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PE管</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E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1219.00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9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F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r>
      <w:tr w14:paraId="7EA9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C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PE管接头</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E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F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D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223.96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4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E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7839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球墨铸铁管</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3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DN150，K9级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F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1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2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478A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D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9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地上式消火栓</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1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SSF150/65-1.6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2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6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C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9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14B8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5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消火栓三通</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0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SSF150/65-1.6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C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B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0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6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r>
      <w:tr w14:paraId="2A65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细粒式沥青混凝土</w:t>
            </w:r>
          </w:p>
        </w:tc>
        <w:tc>
          <w:tcPr>
            <w:tcW w:w="2082" w:type="dxa"/>
            <w:tcBorders>
              <w:top w:val="nil"/>
              <w:left w:val="nil"/>
              <w:bottom w:val="nil"/>
              <w:right w:val="nil"/>
            </w:tcBorders>
            <w:shd w:val="clear" w:color="auto" w:fill="auto"/>
            <w:vAlign w:val="center"/>
          </w:tcPr>
          <w:p w14:paraId="1494A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SBS改性细粒式沥青混凝土AC-13，5cm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A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F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3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6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沥青路面恢复，含摊铺、运输等一切费用</w:t>
            </w:r>
          </w:p>
        </w:tc>
      </w:tr>
      <w:tr w14:paraId="1CBC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5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E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透水混凝土</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9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8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0.81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2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人行道及进坡口</w:t>
            </w:r>
          </w:p>
        </w:tc>
      </w:tr>
      <w:tr w14:paraId="323D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1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4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透水混凝土</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2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5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0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506.40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5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3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w:t>
            </w:r>
          </w:p>
        </w:tc>
      </w:tr>
      <w:tr w14:paraId="4719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5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7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透水混凝土表面喷漆</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EBFB">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6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4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5606.57 </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6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9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w:t>
            </w:r>
          </w:p>
        </w:tc>
      </w:tr>
    </w:tbl>
    <w:p w14:paraId="6D56597E">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4.1结算依据：以甲、乙方双方确认的验收单为依据，单价按双方签订合同约定的价格结算，施工期间材料信息价涨跌幅超出±5%时，由甲乙双方分摊。</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7DC31484">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4.2.1甲、乙双方每季度核对供货情况，并编制对账单，双方签字无误后供方于3个工作日内乙方开具增值税专用发票，甲方收到发票后于7个工作日内支付每季度验收货款的70%。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w:t>
      </w:r>
      <w:r>
        <w:rPr>
          <w:rFonts w:hint="eastAsia" w:ascii="宋体" w:hAnsi="宋体" w:cs="宋体"/>
          <w:color w:val="auto"/>
          <w:kern w:val="0"/>
          <w:sz w:val="28"/>
          <w:szCs w:val="28"/>
          <w:highlight w:val="none"/>
          <w:lang w:val="en-US" w:eastAsia="zh-CN" w:bidi="ar-SA"/>
        </w:rPr>
        <w:t>工程完工</w:t>
      </w:r>
      <w:r>
        <w:rPr>
          <w:rFonts w:hint="eastAsia" w:ascii="宋体" w:hAnsi="宋体" w:eastAsia="宋体" w:cs="宋体"/>
          <w:color w:val="auto"/>
          <w:kern w:val="0"/>
          <w:sz w:val="28"/>
          <w:szCs w:val="28"/>
          <w:highlight w:val="none"/>
          <w:lang w:val="en-US" w:eastAsia="zh-CN" w:bidi="ar-SA"/>
        </w:rPr>
        <w:t>双方验收合格，并办理结算后，乙方开具增值税专用发票后15个工作日内，甲方向乙方支付至验收材料款的97%，剩余3%作为质量保证金。待缺陷责任期12个月满后且无扣除情形的，一次性无息付清</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1"/>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1"/>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279"/>
      <w:bookmarkStart w:id="46" w:name="_Toc346096038"/>
      <w:bookmarkStart w:id="47" w:name="_Toc344409075"/>
      <w:bookmarkStart w:id="48" w:name="_Toc323199452"/>
    </w:p>
    <w:p w14:paraId="67C60E3E">
      <w:pPr>
        <w:pageBreakBefore w:val="0"/>
        <w:kinsoku/>
        <w:overflowPunct/>
        <w:topLinePunct w:val="0"/>
        <w:bidi w:val="0"/>
        <w:jc w:val="center"/>
        <w:outlineLvl w:val="1"/>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1"/>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1"/>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1"/>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1"/>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1"/>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ageBreakBefore w:val="0"/>
        <w:kinsoku/>
        <w:overflowPunct/>
        <w:topLinePunct w:val="0"/>
        <w:bidi w:val="0"/>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02A09BCE">
      <w:pPr>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br w:type="page"/>
      </w:r>
    </w:p>
    <w:p w14:paraId="4D300537">
      <w:pPr>
        <w:pageBreakBefore w:val="0"/>
        <w:kinsoku/>
        <w:overflowPunct/>
        <w:topLinePunct w:val="0"/>
        <w:bidi w:val="0"/>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1"/>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5D1DCF"/>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8B14A3"/>
    <w:rsid w:val="12A05058"/>
    <w:rsid w:val="12BD1987"/>
    <w:rsid w:val="12BF145B"/>
    <w:rsid w:val="12D325AD"/>
    <w:rsid w:val="12E36974"/>
    <w:rsid w:val="1306375D"/>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9273CC"/>
    <w:rsid w:val="27B24AD9"/>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BF77D04"/>
    <w:rsid w:val="2C0509E9"/>
    <w:rsid w:val="2C387018"/>
    <w:rsid w:val="2C444745"/>
    <w:rsid w:val="2C9D6CDB"/>
    <w:rsid w:val="2CC71DF2"/>
    <w:rsid w:val="2CF77EA3"/>
    <w:rsid w:val="2D1D71A5"/>
    <w:rsid w:val="2D4805D8"/>
    <w:rsid w:val="2D4C1195"/>
    <w:rsid w:val="2D866137"/>
    <w:rsid w:val="2DE23F54"/>
    <w:rsid w:val="2DF16F3B"/>
    <w:rsid w:val="2E07416D"/>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472899"/>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6C25839"/>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1449CD"/>
    <w:rsid w:val="432E4FD3"/>
    <w:rsid w:val="43364990"/>
    <w:rsid w:val="436C1C33"/>
    <w:rsid w:val="43735EF2"/>
    <w:rsid w:val="43CF6B92"/>
    <w:rsid w:val="43ED76E8"/>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AB74AB2"/>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0183A"/>
    <w:rsid w:val="4F894B2F"/>
    <w:rsid w:val="4F8A5691"/>
    <w:rsid w:val="4F8C155D"/>
    <w:rsid w:val="4FAC7673"/>
    <w:rsid w:val="4FB42BA4"/>
    <w:rsid w:val="4FC3411A"/>
    <w:rsid w:val="4FCC5976"/>
    <w:rsid w:val="4FD104D5"/>
    <w:rsid w:val="4FE92D8A"/>
    <w:rsid w:val="50234EE5"/>
    <w:rsid w:val="503D1867"/>
    <w:rsid w:val="50E0518E"/>
    <w:rsid w:val="51120CF7"/>
    <w:rsid w:val="51713037"/>
    <w:rsid w:val="519C6593"/>
    <w:rsid w:val="51AD1A71"/>
    <w:rsid w:val="51C92E73"/>
    <w:rsid w:val="51DF25F2"/>
    <w:rsid w:val="51F823A1"/>
    <w:rsid w:val="524E3378"/>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9853BD"/>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5B6AA6"/>
    <w:rsid w:val="5972035B"/>
    <w:rsid w:val="598F49A2"/>
    <w:rsid w:val="59B66791"/>
    <w:rsid w:val="59C103A5"/>
    <w:rsid w:val="59FF6B39"/>
    <w:rsid w:val="5A660D4E"/>
    <w:rsid w:val="5A817B0D"/>
    <w:rsid w:val="5A8262B5"/>
    <w:rsid w:val="5AA24261"/>
    <w:rsid w:val="5AAB323C"/>
    <w:rsid w:val="5AE623A0"/>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C6116D"/>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4F6547D"/>
    <w:rsid w:val="75054A42"/>
    <w:rsid w:val="750D2206"/>
    <w:rsid w:val="75E83E72"/>
    <w:rsid w:val="75FC0B1E"/>
    <w:rsid w:val="76011B48"/>
    <w:rsid w:val="761121A2"/>
    <w:rsid w:val="762A6CE0"/>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146346"/>
    <w:rsid w:val="783E1615"/>
    <w:rsid w:val="783E56FD"/>
    <w:rsid w:val="7840538D"/>
    <w:rsid w:val="786C0769"/>
    <w:rsid w:val="789E1B40"/>
    <w:rsid w:val="78B2790D"/>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B0451A"/>
    <w:rsid w:val="7CCC5FA1"/>
    <w:rsid w:val="7CED1322"/>
    <w:rsid w:val="7CEF6848"/>
    <w:rsid w:val="7D074CD4"/>
    <w:rsid w:val="7D3B7EFB"/>
    <w:rsid w:val="7D4D4826"/>
    <w:rsid w:val="7D6255CE"/>
    <w:rsid w:val="7D8555F0"/>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43</Pages>
  <Words>3231</Words>
  <Characters>3779</Characters>
  <Lines>190</Lines>
  <Paragraphs>53</Paragraphs>
  <TotalTime>4</TotalTime>
  <ScaleCrop>false</ScaleCrop>
  <LinksUpToDate>false</LinksUpToDate>
  <CharactersWithSpaces>3966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Administrator</cp:lastModifiedBy>
  <cp:lastPrinted>2025-12-01T06:16:00Z</cp:lastPrinted>
  <dcterms:modified xsi:type="dcterms:W3CDTF">2025-12-11T02:54:31Z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492D43F73E9D4622BAFDB924F18DA690_13</vt:lpwstr>
  </property>
  <property fmtid="{D5CDD505-2E9C-101B-9397-08002B2CF9AE}" pid="4" name="KSOTemplateDocerSaveRecord">
    <vt:lpwstr>eyJoZGlkIjoiNWE5Nzc2NTI3MjI4OWFjNTM1ZDk3ZDU3YjdjNGViODEiLCJ1c2VySWQiOiIzMzA1Njk5ODgifQ==</vt:lpwstr>
  </property>
</Properties>
</file>