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红谷滩区雨污管网及污水处理清淤改造工程-主材采购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JXZY2026CT-G007</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24</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红谷滩区雨污管网及污水处理清淤改造工程-主材采购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341"/>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25"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341"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25"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JXZY2026CT-G007</w:t>
            </w:r>
          </w:p>
        </w:tc>
        <w:tc>
          <w:tcPr>
            <w:tcW w:w="2341"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红谷滩区雨污管网及污水处理清淤改造工程-主材采购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979899.64</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 14：30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bookmarkStart w:id="58" w:name="_GoBack"/>
      <w:bookmarkEnd w:id="58"/>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红谷滩区雨污管网及污水处理清淤改造工程-主材采购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JXZY2026CT-G007</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壹万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JXZY2026CT-G007</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人民币陆仟零贰元（¥6002元）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1761"/>
      <w:bookmarkStart w:id="4" w:name="_Toc17175"/>
      <w:bookmarkStart w:id="5" w:name="_Toc324678925"/>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979899.64</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0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4181"/>
        <w:gridCol w:w="735"/>
        <w:gridCol w:w="666"/>
        <w:gridCol w:w="1274"/>
        <w:gridCol w:w="705"/>
        <w:gridCol w:w="1245"/>
        <w:gridCol w:w="1349"/>
      </w:tblGrid>
      <w:tr w14:paraId="553D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5C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D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7F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B6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86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5E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3CA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9D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 HRB400以内φ12～18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0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D1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78E">
            <w:pPr>
              <w:jc w:val="center"/>
              <w:rPr>
                <w:rFonts w:hint="eastAsia" w:ascii="宋体" w:hAnsi="宋体" w:eastAsia="宋体" w:cs="宋体"/>
                <w:i w:val="0"/>
                <w:iCs w:val="0"/>
                <w:color w:val="000000"/>
                <w:sz w:val="18"/>
                <w:szCs w:val="18"/>
                <w:u w:val="none"/>
              </w:rPr>
            </w:pPr>
          </w:p>
        </w:tc>
      </w:tr>
      <w:tr w14:paraId="2205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C9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4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 HPB300φ12～18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A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7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A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2B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367D">
            <w:pPr>
              <w:jc w:val="center"/>
              <w:rPr>
                <w:rFonts w:hint="eastAsia" w:ascii="宋体" w:hAnsi="宋体" w:eastAsia="宋体" w:cs="宋体"/>
                <w:i w:val="0"/>
                <w:iCs w:val="0"/>
                <w:color w:val="000000"/>
                <w:sz w:val="18"/>
                <w:szCs w:val="18"/>
                <w:u w:val="none"/>
              </w:rPr>
            </w:pPr>
          </w:p>
        </w:tc>
      </w:tr>
      <w:tr w14:paraId="634E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36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雨水口成品球墨铸铁盖板（750*450*50） 平箅（带截污框）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6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2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3B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1、承载力≥400KN；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3、成套重量不得低于48kg。</w:t>
            </w:r>
          </w:p>
        </w:tc>
      </w:tr>
      <w:tr w14:paraId="23C3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CB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雨水口成品铸铁盖板（750*450*50）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2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B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C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7A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A0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2D43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60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排水沟成品铸铁盖板（500*300*50）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9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8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0A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B8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1189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D7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排水沟成品铸铁盖板（400*600*30）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A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80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6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4204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64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2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检查井编织防坠网（含专用挂钩等辅材）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B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9F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2CC13">
            <w:pPr>
              <w:jc w:val="center"/>
              <w:rPr>
                <w:rFonts w:hint="eastAsia" w:ascii="宋体" w:hAnsi="宋体" w:eastAsia="宋体" w:cs="宋体"/>
                <w:i w:val="0"/>
                <w:iCs w:val="0"/>
                <w:color w:val="000000"/>
                <w:sz w:val="20"/>
                <w:szCs w:val="20"/>
                <w:u w:val="none"/>
              </w:rPr>
            </w:pPr>
          </w:p>
        </w:tc>
      </w:tr>
      <w:tr w14:paraId="00EF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E1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D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钢筋混凝土防沉降一体化球墨铸铁井盖、井座（实重不低于96kg）D400，含球墨铸铁防坠网、调节环,尺寸1.2*1.2*0.2m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4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A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D8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15AEC">
            <w:pPr>
              <w:jc w:val="center"/>
              <w:rPr>
                <w:rFonts w:hint="eastAsia" w:ascii="宋体" w:hAnsi="宋体" w:eastAsia="宋体" w:cs="宋体"/>
                <w:i w:val="0"/>
                <w:iCs w:val="0"/>
                <w:color w:val="000000"/>
                <w:sz w:val="20"/>
                <w:szCs w:val="20"/>
                <w:u w:val="none"/>
              </w:rPr>
            </w:pPr>
          </w:p>
        </w:tc>
      </w:tr>
      <w:tr w14:paraId="65A8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63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4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钢筋混凝土防沉降一体化球墨铸铁井盖、井座（实重不低于96kg）D700，含球墨铸铁防坠网、调节环,尺寸1.2*1.2*0.2m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E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A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51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E6E71">
            <w:pPr>
              <w:jc w:val="center"/>
              <w:rPr>
                <w:rFonts w:hint="eastAsia" w:ascii="宋体" w:hAnsi="宋体" w:eastAsia="宋体" w:cs="宋体"/>
                <w:i w:val="0"/>
                <w:iCs w:val="0"/>
                <w:color w:val="000000"/>
                <w:sz w:val="20"/>
                <w:szCs w:val="20"/>
                <w:u w:val="none"/>
              </w:rPr>
            </w:pPr>
          </w:p>
        </w:tc>
      </w:tr>
      <w:tr w14:paraId="7303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3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F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700*700*80mm不锈钢成套检查井盖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C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2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C4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B7A79">
            <w:pPr>
              <w:jc w:val="center"/>
              <w:rPr>
                <w:rFonts w:hint="eastAsia" w:ascii="宋体" w:hAnsi="宋体" w:eastAsia="宋体" w:cs="宋体"/>
                <w:i w:val="0"/>
                <w:iCs w:val="0"/>
                <w:color w:val="000000"/>
                <w:sz w:val="20"/>
                <w:szCs w:val="20"/>
                <w:u w:val="none"/>
              </w:rPr>
            </w:pPr>
          </w:p>
        </w:tc>
      </w:tr>
      <w:tr w14:paraId="21EA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5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新建塑料Ø630污水井,井室+井圈深度3.5米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0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22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9DA2A">
            <w:pPr>
              <w:jc w:val="center"/>
              <w:rPr>
                <w:rFonts w:hint="eastAsia" w:ascii="宋体" w:hAnsi="宋体" w:eastAsia="宋体" w:cs="宋体"/>
                <w:i w:val="0"/>
                <w:iCs w:val="0"/>
                <w:color w:val="000000"/>
                <w:sz w:val="20"/>
                <w:szCs w:val="20"/>
                <w:u w:val="none"/>
              </w:rPr>
            </w:pPr>
          </w:p>
        </w:tc>
      </w:tr>
      <w:tr w14:paraId="528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88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B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污水塑料检查井(井筒直径mm以内) 700,井室深度1米，井圈0.3m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DB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E1806">
            <w:pPr>
              <w:jc w:val="center"/>
              <w:rPr>
                <w:rFonts w:hint="eastAsia" w:ascii="宋体" w:hAnsi="宋体" w:eastAsia="宋体" w:cs="宋体"/>
                <w:i w:val="0"/>
                <w:iCs w:val="0"/>
                <w:color w:val="000000"/>
                <w:sz w:val="20"/>
                <w:szCs w:val="20"/>
                <w:u w:val="none"/>
              </w:rPr>
            </w:pPr>
          </w:p>
        </w:tc>
      </w:tr>
      <w:tr w14:paraId="1F28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88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E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预制钢筋混凝土直通检查井井室、井座，外径φ1250、内径φ1000、高度1米、出水口直径φ750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2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9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4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30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0A5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D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钢筋混凝土井筒内径φ700,厚度125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2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A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E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0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2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7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1C30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B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钢筋混凝土Φ630国标中空壁井筒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5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7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B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A27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30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F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HDPE井筒Φ800，高度0.5m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C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C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F4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6F9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80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42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芝麻灰火烧面大理石广场砖（规格：600X300X50mm)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E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A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C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1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AE583">
            <w:pPr>
              <w:jc w:val="center"/>
              <w:rPr>
                <w:rFonts w:hint="eastAsia" w:ascii="宋体" w:hAnsi="宋体" w:eastAsia="宋体" w:cs="宋体"/>
                <w:i w:val="0"/>
                <w:iCs w:val="0"/>
                <w:color w:val="000000"/>
                <w:sz w:val="20"/>
                <w:szCs w:val="20"/>
                <w:u w:val="none"/>
              </w:rPr>
            </w:pPr>
          </w:p>
        </w:tc>
      </w:tr>
      <w:tr w14:paraId="0BD6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62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芝麻灰火烧面大理石广场砖（规格：300X600X30mm)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2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5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C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F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47D11">
            <w:pPr>
              <w:jc w:val="center"/>
              <w:rPr>
                <w:rFonts w:hint="eastAsia" w:ascii="宋体" w:hAnsi="宋体" w:eastAsia="宋体" w:cs="宋体"/>
                <w:i w:val="0"/>
                <w:iCs w:val="0"/>
                <w:color w:val="000000"/>
                <w:sz w:val="20"/>
                <w:szCs w:val="20"/>
                <w:u w:val="none"/>
              </w:rPr>
            </w:pPr>
          </w:p>
        </w:tc>
      </w:tr>
      <w:tr w14:paraId="3CD5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4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芝麻黑火烧面大理石广场砖（规格：600X600X30mm)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6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4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B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8A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B4564">
            <w:pPr>
              <w:jc w:val="center"/>
              <w:rPr>
                <w:rFonts w:hint="eastAsia" w:ascii="宋体" w:hAnsi="宋体" w:eastAsia="宋体" w:cs="宋体"/>
                <w:i w:val="0"/>
                <w:iCs w:val="0"/>
                <w:color w:val="000000"/>
                <w:sz w:val="20"/>
                <w:szCs w:val="20"/>
                <w:u w:val="none"/>
              </w:rPr>
            </w:pPr>
          </w:p>
        </w:tc>
      </w:tr>
      <w:tr w14:paraId="6E81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1B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6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芝麻白火烧面大理石广场砖（规格：600X600X30mm)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4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9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3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09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54129">
            <w:pPr>
              <w:jc w:val="center"/>
              <w:rPr>
                <w:rFonts w:hint="eastAsia" w:ascii="宋体" w:hAnsi="宋体" w:eastAsia="宋体" w:cs="宋体"/>
                <w:i w:val="0"/>
                <w:iCs w:val="0"/>
                <w:color w:val="000000"/>
                <w:sz w:val="20"/>
                <w:szCs w:val="20"/>
                <w:u w:val="none"/>
              </w:rPr>
            </w:pPr>
          </w:p>
        </w:tc>
      </w:tr>
      <w:tr w14:paraId="6BD9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28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7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火烧面芝麻白大理石广场砖（规格：1000X300X50mm)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1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6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BC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4D77">
            <w:pPr>
              <w:jc w:val="center"/>
              <w:rPr>
                <w:rFonts w:hint="eastAsia" w:ascii="宋体" w:hAnsi="宋体" w:eastAsia="宋体" w:cs="宋体"/>
                <w:i w:val="0"/>
                <w:iCs w:val="0"/>
                <w:color w:val="000000"/>
                <w:sz w:val="18"/>
                <w:szCs w:val="18"/>
                <w:u w:val="none"/>
              </w:rPr>
            </w:pPr>
          </w:p>
        </w:tc>
      </w:tr>
      <w:tr w14:paraId="2789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8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B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芝麻灰花岗岩路沿石（700*200*100mm）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7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6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CC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2DB6">
            <w:pPr>
              <w:jc w:val="center"/>
              <w:rPr>
                <w:rFonts w:hint="eastAsia" w:ascii="宋体" w:hAnsi="宋体" w:eastAsia="宋体" w:cs="宋体"/>
                <w:i w:val="0"/>
                <w:iCs w:val="0"/>
                <w:color w:val="000000"/>
                <w:sz w:val="18"/>
                <w:szCs w:val="18"/>
                <w:u w:val="none"/>
              </w:rPr>
            </w:pPr>
          </w:p>
        </w:tc>
      </w:tr>
      <w:tr w14:paraId="3AEA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61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芝麻灰花岗岩路沿石（1000*300*120mm）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F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53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2E0B">
            <w:pPr>
              <w:jc w:val="center"/>
              <w:rPr>
                <w:rFonts w:hint="eastAsia" w:ascii="宋体" w:hAnsi="宋体" w:eastAsia="宋体" w:cs="宋体"/>
                <w:i w:val="0"/>
                <w:iCs w:val="0"/>
                <w:color w:val="000000"/>
                <w:sz w:val="18"/>
                <w:szCs w:val="18"/>
                <w:u w:val="none"/>
              </w:rPr>
            </w:pPr>
          </w:p>
        </w:tc>
      </w:tr>
      <w:tr w14:paraId="55F5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0C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2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火烧面芝麻灰花岗岩（300*600*25）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F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0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FF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6111">
            <w:pPr>
              <w:jc w:val="center"/>
              <w:rPr>
                <w:rFonts w:hint="eastAsia" w:ascii="宋体" w:hAnsi="宋体" w:eastAsia="宋体" w:cs="宋体"/>
                <w:i w:val="0"/>
                <w:iCs w:val="0"/>
                <w:color w:val="000000"/>
                <w:sz w:val="18"/>
                <w:szCs w:val="18"/>
                <w:u w:val="none"/>
              </w:rPr>
            </w:pPr>
          </w:p>
        </w:tc>
      </w:tr>
      <w:tr w14:paraId="19D9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8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花岗岩树池石1000*200*80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8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7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5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A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C45E">
            <w:pPr>
              <w:jc w:val="center"/>
              <w:rPr>
                <w:rFonts w:hint="eastAsia" w:ascii="宋体" w:hAnsi="宋体" w:eastAsia="宋体" w:cs="宋体"/>
                <w:i w:val="0"/>
                <w:iCs w:val="0"/>
                <w:color w:val="000000"/>
                <w:sz w:val="18"/>
                <w:szCs w:val="18"/>
                <w:u w:val="none"/>
              </w:rPr>
            </w:pPr>
          </w:p>
        </w:tc>
      </w:tr>
      <w:tr w14:paraId="1E19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B9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700*200*150mm芝麻灰花岗岩路沿石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6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6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E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38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0F26">
            <w:pPr>
              <w:jc w:val="center"/>
              <w:rPr>
                <w:rFonts w:hint="eastAsia" w:ascii="宋体" w:hAnsi="宋体" w:eastAsia="宋体" w:cs="宋体"/>
                <w:i w:val="0"/>
                <w:iCs w:val="0"/>
                <w:color w:val="000000"/>
                <w:sz w:val="18"/>
                <w:szCs w:val="18"/>
                <w:u w:val="none"/>
              </w:rPr>
            </w:pPr>
          </w:p>
        </w:tc>
      </w:tr>
      <w:tr w14:paraId="312F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C5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8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700*100*100mm芝麻灰花岗岩路沿石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2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D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9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D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5F9F">
            <w:pPr>
              <w:jc w:val="center"/>
              <w:rPr>
                <w:rFonts w:hint="eastAsia" w:ascii="宋体" w:hAnsi="宋体" w:eastAsia="宋体" w:cs="宋体"/>
                <w:i w:val="0"/>
                <w:iCs w:val="0"/>
                <w:color w:val="000000"/>
                <w:sz w:val="18"/>
                <w:szCs w:val="18"/>
                <w:u w:val="none"/>
              </w:rPr>
            </w:pPr>
          </w:p>
        </w:tc>
      </w:tr>
      <w:tr w14:paraId="26B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AD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5cm芝麻白花岗岩人行道面板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6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1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D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9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20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F627">
            <w:pPr>
              <w:jc w:val="center"/>
              <w:rPr>
                <w:rFonts w:hint="eastAsia" w:ascii="宋体" w:hAnsi="宋体" w:eastAsia="宋体" w:cs="宋体"/>
                <w:i w:val="0"/>
                <w:iCs w:val="0"/>
                <w:color w:val="000000"/>
                <w:sz w:val="18"/>
                <w:szCs w:val="18"/>
                <w:u w:val="none"/>
              </w:rPr>
            </w:pPr>
          </w:p>
        </w:tc>
      </w:tr>
      <w:tr w14:paraId="7B7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C2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3cm芝麻白花岗岩花岗岩人行道面板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A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8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BB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D13D">
            <w:pPr>
              <w:jc w:val="center"/>
              <w:rPr>
                <w:rFonts w:hint="eastAsia" w:ascii="宋体" w:hAnsi="宋体" w:eastAsia="宋体" w:cs="宋体"/>
                <w:i w:val="0"/>
                <w:iCs w:val="0"/>
                <w:color w:val="000000"/>
                <w:sz w:val="18"/>
                <w:szCs w:val="18"/>
                <w:u w:val="none"/>
              </w:rPr>
            </w:pPr>
          </w:p>
        </w:tc>
      </w:tr>
      <w:tr w14:paraId="6426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C7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3cm芝麻白花岗岩600*600*30人行道面板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0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E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2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C6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DF86">
            <w:pPr>
              <w:jc w:val="center"/>
              <w:rPr>
                <w:rFonts w:hint="eastAsia" w:ascii="宋体" w:hAnsi="宋体" w:eastAsia="宋体" w:cs="宋体"/>
                <w:i w:val="0"/>
                <w:iCs w:val="0"/>
                <w:color w:val="000000"/>
                <w:sz w:val="18"/>
                <w:szCs w:val="18"/>
                <w:u w:val="none"/>
              </w:rPr>
            </w:pPr>
          </w:p>
        </w:tc>
      </w:tr>
      <w:tr w14:paraId="04BE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F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7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PC砖 300*600*18mm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7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1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E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7C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F938">
            <w:pPr>
              <w:jc w:val="center"/>
              <w:rPr>
                <w:rFonts w:hint="eastAsia" w:ascii="宋体" w:hAnsi="宋体" w:eastAsia="宋体" w:cs="宋体"/>
                <w:i w:val="0"/>
                <w:iCs w:val="0"/>
                <w:color w:val="000000"/>
                <w:sz w:val="18"/>
                <w:szCs w:val="18"/>
                <w:u w:val="none"/>
              </w:rPr>
            </w:pPr>
          </w:p>
        </w:tc>
      </w:tr>
      <w:tr w14:paraId="74A2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7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0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200*100*60mm人行道地面吸水砖（素色）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5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9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96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BAFA">
            <w:pPr>
              <w:jc w:val="center"/>
              <w:rPr>
                <w:rFonts w:hint="eastAsia" w:ascii="宋体" w:hAnsi="宋体" w:eastAsia="宋体" w:cs="宋体"/>
                <w:i w:val="0"/>
                <w:iCs w:val="0"/>
                <w:color w:val="000000"/>
                <w:sz w:val="18"/>
                <w:szCs w:val="18"/>
                <w:u w:val="none"/>
              </w:rPr>
            </w:pPr>
          </w:p>
        </w:tc>
      </w:tr>
      <w:tr w14:paraId="57AA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3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人行道吸水砖 200*100*60（彩色）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9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8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8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7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06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44F8">
            <w:pPr>
              <w:jc w:val="center"/>
              <w:rPr>
                <w:rFonts w:hint="eastAsia" w:ascii="宋体" w:hAnsi="宋体" w:eastAsia="宋体" w:cs="宋体"/>
                <w:i w:val="0"/>
                <w:iCs w:val="0"/>
                <w:color w:val="000000"/>
                <w:sz w:val="18"/>
                <w:szCs w:val="18"/>
                <w:u w:val="none"/>
              </w:rPr>
            </w:pPr>
          </w:p>
        </w:tc>
      </w:tr>
      <w:tr w14:paraId="2D09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EE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A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红机砖 240×115×53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A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3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8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DA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A536">
            <w:pPr>
              <w:jc w:val="center"/>
              <w:rPr>
                <w:rFonts w:hint="eastAsia" w:ascii="宋体" w:hAnsi="宋体" w:eastAsia="宋体" w:cs="宋体"/>
                <w:i w:val="0"/>
                <w:iCs w:val="0"/>
                <w:color w:val="000000"/>
                <w:sz w:val="18"/>
                <w:szCs w:val="18"/>
                <w:u w:val="none"/>
              </w:rPr>
            </w:pPr>
          </w:p>
        </w:tc>
      </w:tr>
      <w:tr w14:paraId="7383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12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D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标准砖 240×115×53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E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8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B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6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A4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F93">
            <w:pPr>
              <w:jc w:val="center"/>
              <w:rPr>
                <w:rFonts w:hint="eastAsia" w:ascii="宋体" w:hAnsi="宋体" w:eastAsia="宋体" w:cs="宋体"/>
                <w:i w:val="0"/>
                <w:iCs w:val="0"/>
                <w:color w:val="000000"/>
                <w:sz w:val="18"/>
                <w:szCs w:val="18"/>
                <w:u w:val="none"/>
              </w:rPr>
            </w:pPr>
          </w:p>
        </w:tc>
      </w:tr>
      <w:tr w14:paraId="7464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4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F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中粗砂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0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8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DB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04F5">
            <w:pPr>
              <w:jc w:val="center"/>
              <w:rPr>
                <w:rFonts w:hint="eastAsia" w:ascii="宋体" w:hAnsi="宋体" w:eastAsia="宋体" w:cs="宋体"/>
                <w:i w:val="0"/>
                <w:iCs w:val="0"/>
                <w:color w:val="000000"/>
                <w:sz w:val="18"/>
                <w:szCs w:val="18"/>
                <w:u w:val="none"/>
              </w:rPr>
            </w:pPr>
          </w:p>
        </w:tc>
      </w:tr>
      <w:tr w14:paraId="0424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5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A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9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C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4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4D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6A4">
            <w:pPr>
              <w:jc w:val="center"/>
              <w:rPr>
                <w:rFonts w:hint="eastAsia" w:ascii="宋体" w:hAnsi="宋体" w:eastAsia="宋体" w:cs="宋体"/>
                <w:i w:val="0"/>
                <w:iCs w:val="0"/>
                <w:color w:val="000000"/>
                <w:sz w:val="18"/>
                <w:szCs w:val="18"/>
                <w:u w:val="none"/>
              </w:rPr>
            </w:pPr>
          </w:p>
        </w:tc>
      </w:tr>
      <w:tr w14:paraId="6650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6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6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6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79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A95">
            <w:pPr>
              <w:jc w:val="center"/>
              <w:rPr>
                <w:rFonts w:hint="eastAsia" w:ascii="宋体" w:hAnsi="宋体" w:eastAsia="宋体" w:cs="宋体"/>
                <w:i w:val="0"/>
                <w:iCs w:val="0"/>
                <w:color w:val="000000"/>
                <w:sz w:val="18"/>
                <w:szCs w:val="18"/>
                <w:u w:val="none"/>
              </w:rPr>
            </w:pPr>
          </w:p>
        </w:tc>
      </w:tr>
      <w:tr w14:paraId="4B7B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AC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1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5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43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81A">
            <w:pPr>
              <w:jc w:val="center"/>
              <w:rPr>
                <w:rFonts w:hint="eastAsia" w:ascii="宋体" w:hAnsi="宋体" w:eastAsia="宋体" w:cs="宋体"/>
                <w:i w:val="0"/>
                <w:iCs w:val="0"/>
                <w:color w:val="000000"/>
                <w:sz w:val="18"/>
                <w:szCs w:val="18"/>
                <w:u w:val="none"/>
              </w:rPr>
            </w:pPr>
          </w:p>
        </w:tc>
      </w:tr>
      <w:tr w14:paraId="6C19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FF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C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9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7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B35">
            <w:pPr>
              <w:jc w:val="center"/>
              <w:rPr>
                <w:rFonts w:hint="eastAsia" w:ascii="宋体" w:hAnsi="宋体" w:eastAsia="宋体" w:cs="宋体"/>
                <w:i w:val="0"/>
                <w:iCs w:val="0"/>
                <w:color w:val="000000"/>
                <w:sz w:val="18"/>
                <w:szCs w:val="18"/>
                <w:u w:val="none"/>
              </w:rPr>
            </w:pPr>
          </w:p>
        </w:tc>
      </w:tr>
      <w:tr w14:paraId="3B7B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37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0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0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F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B8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B9A">
            <w:pPr>
              <w:jc w:val="center"/>
              <w:rPr>
                <w:rFonts w:hint="eastAsia" w:ascii="宋体" w:hAnsi="宋体" w:eastAsia="宋体" w:cs="宋体"/>
                <w:i w:val="0"/>
                <w:iCs w:val="0"/>
                <w:color w:val="000000"/>
                <w:sz w:val="18"/>
                <w:szCs w:val="18"/>
                <w:u w:val="none"/>
              </w:rPr>
            </w:pPr>
          </w:p>
        </w:tc>
      </w:tr>
      <w:tr w14:paraId="6E01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F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3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7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1C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926A">
            <w:pPr>
              <w:jc w:val="center"/>
              <w:rPr>
                <w:rFonts w:hint="eastAsia" w:ascii="宋体" w:hAnsi="宋体" w:eastAsia="宋体" w:cs="宋体"/>
                <w:i w:val="0"/>
                <w:iCs w:val="0"/>
                <w:color w:val="000000"/>
                <w:sz w:val="18"/>
                <w:szCs w:val="18"/>
                <w:u w:val="none"/>
              </w:rPr>
            </w:pPr>
          </w:p>
        </w:tc>
      </w:tr>
      <w:tr w14:paraId="1D3E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5C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素色透水混凝土 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9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1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40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0F05">
            <w:pPr>
              <w:jc w:val="center"/>
              <w:rPr>
                <w:rFonts w:hint="eastAsia" w:ascii="宋体" w:hAnsi="宋体" w:eastAsia="宋体" w:cs="宋体"/>
                <w:i w:val="0"/>
                <w:iCs w:val="0"/>
                <w:color w:val="000000"/>
                <w:sz w:val="18"/>
                <w:szCs w:val="18"/>
                <w:u w:val="none"/>
              </w:rPr>
            </w:pPr>
          </w:p>
        </w:tc>
      </w:tr>
      <w:tr w14:paraId="2780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9E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快干水泥42.5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B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D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E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0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A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B774">
            <w:pPr>
              <w:jc w:val="center"/>
              <w:rPr>
                <w:rFonts w:hint="eastAsia" w:ascii="宋体" w:hAnsi="宋体" w:eastAsia="宋体" w:cs="宋体"/>
                <w:i w:val="0"/>
                <w:iCs w:val="0"/>
                <w:color w:val="000000"/>
                <w:sz w:val="18"/>
                <w:szCs w:val="18"/>
                <w:u w:val="none"/>
              </w:rPr>
            </w:pPr>
          </w:p>
        </w:tc>
      </w:tr>
      <w:tr w14:paraId="7BD7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D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中粒式沥青混凝土AC-16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C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E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4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6D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47C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E7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SBS细粒式改性沥青混凝土AC-13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9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03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81C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9A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4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6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18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8666">
            <w:pPr>
              <w:jc w:val="center"/>
              <w:rPr>
                <w:rFonts w:hint="eastAsia" w:ascii="宋体" w:hAnsi="宋体" w:eastAsia="宋体" w:cs="宋体"/>
                <w:i w:val="0"/>
                <w:iCs w:val="0"/>
                <w:color w:val="000000"/>
                <w:sz w:val="18"/>
                <w:szCs w:val="18"/>
                <w:u w:val="none"/>
              </w:rPr>
            </w:pPr>
          </w:p>
        </w:tc>
      </w:tr>
      <w:tr w14:paraId="0FC3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A4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0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DN800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C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E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1B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C82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2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F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DN600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1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3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0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176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62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A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DN500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8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6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C0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6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EAD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FE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2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DN400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6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C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D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B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5A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74D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D8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4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DN300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D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F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7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F1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36A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83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DN200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0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8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82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35E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39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C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F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7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D9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3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663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63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D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5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3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D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99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5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06B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A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8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4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EC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F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836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1E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堵漏王（1kg）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F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6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E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B8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934D">
            <w:pPr>
              <w:jc w:val="center"/>
              <w:rPr>
                <w:rFonts w:hint="eastAsia" w:ascii="宋体" w:hAnsi="宋体" w:eastAsia="宋体" w:cs="宋体"/>
                <w:i w:val="0"/>
                <w:iCs w:val="0"/>
                <w:color w:val="000000"/>
                <w:sz w:val="18"/>
                <w:szCs w:val="18"/>
                <w:u w:val="none"/>
              </w:rPr>
            </w:pPr>
          </w:p>
        </w:tc>
      </w:tr>
      <w:tr w14:paraId="5ACC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0F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草皮台湾青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1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F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3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FC02">
            <w:pPr>
              <w:jc w:val="center"/>
              <w:rPr>
                <w:rFonts w:hint="eastAsia" w:ascii="宋体" w:hAnsi="宋体" w:eastAsia="宋体" w:cs="宋体"/>
                <w:i w:val="0"/>
                <w:iCs w:val="0"/>
                <w:color w:val="000000"/>
                <w:sz w:val="18"/>
                <w:szCs w:val="18"/>
                <w:u w:val="none"/>
              </w:rPr>
            </w:pPr>
          </w:p>
        </w:tc>
      </w:tr>
      <w:tr w14:paraId="35B7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0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混凝土管DN800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7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6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E5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E51C">
            <w:pPr>
              <w:jc w:val="center"/>
              <w:rPr>
                <w:rFonts w:hint="eastAsia" w:ascii="宋体" w:hAnsi="宋体" w:eastAsia="宋体" w:cs="宋体"/>
                <w:i w:val="0"/>
                <w:iCs w:val="0"/>
                <w:color w:val="000000"/>
                <w:sz w:val="18"/>
                <w:szCs w:val="18"/>
                <w:u w:val="none"/>
              </w:rPr>
            </w:pPr>
          </w:p>
        </w:tc>
      </w:tr>
      <w:tr w14:paraId="142E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F5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混凝土管DN600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1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F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E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51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C38C">
            <w:pPr>
              <w:jc w:val="center"/>
              <w:rPr>
                <w:rFonts w:hint="eastAsia" w:ascii="宋体" w:hAnsi="宋体" w:eastAsia="宋体" w:cs="宋体"/>
                <w:i w:val="0"/>
                <w:iCs w:val="0"/>
                <w:color w:val="000000"/>
                <w:sz w:val="18"/>
                <w:szCs w:val="18"/>
                <w:u w:val="none"/>
              </w:rPr>
            </w:pPr>
          </w:p>
        </w:tc>
      </w:tr>
      <w:tr w14:paraId="594B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7B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混凝土管DN500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9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1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5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E07">
            <w:pPr>
              <w:jc w:val="center"/>
              <w:rPr>
                <w:rFonts w:hint="eastAsia" w:ascii="宋体" w:hAnsi="宋体" w:eastAsia="宋体" w:cs="宋体"/>
                <w:i w:val="0"/>
                <w:iCs w:val="0"/>
                <w:color w:val="000000"/>
                <w:sz w:val="18"/>
                <w:szCs w:val="18"/>
                <w:u w:val="none"/>
              </w:rPr>
            </w:pPr>
          </w:p>
        </w:tc>
      </w:tr>
      <w:tr w14:paraId="1F98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8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混凝土管DN400 SN≥10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C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1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2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9D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9EAC">
            <w:pPr>
              <w:jc w:val="center"/>
              <w:rPr>
                <w:rFonts w:hint="eastAsia" w:ascii="宋体" w:hAnsi="宋体" w:eastAsia="宋体" w:cs="宋体"/>
                <w:i w:val="0"/>
                <w:iCs w:val="0"/>
                <w:color w:val="000000"/>
                <w:sz w:val="18"/>
                <w:szCs w:val="18"/>
                <w:u w:val="none"/>
              </w:rPr>
            </w:pPr>
          </w:p>
        </w:tc>
      </w:tr>
      <w:tr w14:paraId="6E95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2A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混凝土管DN300 SN≥10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8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4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4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85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B972">
            <w:pPr>
              <w:jc w:val="center"/>
              <w:rPr>
                <w:rFonts w:hint="eastAsia" w:ascii="宋体" w:hAnsi="宋体" w:eastAsia="宋体" w:cs="宋体"/>
                <w:i w:val="0"/>
                <w:iCs w:val="0"/>
                <w:color w:val="000000"/>
                <w:sz w:val="18"/>
                <w:szCs w:val="18"/>
                <w:u w:val="none"/>
              </w:rPr>
            </w:pPr>
          </w:p>
        </w:tc>
      </w:tr>
      <w:tr w14:paraId="3A56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40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围挡租赁，含安装拆除施工围挡（2000*1800）带铁支撑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9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F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2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B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9EF6">
            <w:pPr>
              <w:jc w:val="center"/>
              <w:rPr>
                <w:rFonts w:hint="eastAsia" w:ascii="宋体" w:hAnsi="宋体" w:eastAsia="宋体" w:cs="宋体"/>
                <w:i w:val="0"/>
                <w:iCs w:val="0"/>
                <w:color w:val="000000"/>
                <w:sz w:val="18"/>
                <w:szCs w:val="18"/>
                <w:u w:val="none"/>
              </w:rPr>
            </w:pPr>
          </w:p>
        </w:tc>
      </w:tr>
      <w:tr w14:paraId="45DA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D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9B4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3F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A1A">
            <w:pPr>
              <w:jc w:val="center"/>
              <w:rPr>
                <w:rFonts w:hint="eastAsia" w:ascii="宋体" w:hAnsi="宋体" w:eastAsia="宋体" w:cs="宋体"/>
                <w:i w:val="0"/>
                <w:iCs w:val="0"/>
                <w:color w:val="000000"/>
                <w:sz w:val="18"/>
                <w:szCs w:val="18"/>
                <w:u w:val="none"/>
              </w:rPr>
            </w:pPr>
          </w:p>
        </w:tc>
      </w:tr>
      <w:tr w14:paraId="7A24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0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复合木模板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3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4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88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495A">
            <w:pPr>
              <w:jc w:val="center"/>
              <w:rPr>
                <w:rFonts w:hint="eastAsia" w:ascii="宋体" w:hAnsi="宋体" w:eastAsia="宋体" w:cs="宋体"/>
                <w:i w:val="0"/>
                <w:iCs w:val="0"/>
                <w:color w:val="000000"/>
                <w:sz w:val="18"/>
                <w:szCs w:val="18"/>
                <w:u w:val="none"/>
              </w:rPr>
            </w:pPr>
          </w:p>
        </w:tc>
      </w:tr>
      <w:tr w14:paraId="0583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34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气囊管堵安装拆除 管径DN600及以内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B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0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7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04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8E10">
            <w:pPr>
              <w:jc w:val="center"/>
              <w:rPr>
                <w:rFonts w:hint="eastAsia" w:ascii="宋体" w:hAnsi="宋体" w:eastAsia="宋体" w:cs="宋体"/>
                <w:i w:val="0"/>
                <w:iCs w:val="0"/>
                <w:color w:val="000000"/>
                <w:sz w:val="18"/>
                <w:szCs w:val="18"/>
                <w:u w:val="none"/>
              </w:rPr>
            </w:pPr>
          </w:p>
        </w:tc>
      </w:tr>
      <w:tr w14:paraId="22D2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E2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气囊管堵安装拆除 管径DN600以上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1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1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22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5CAF">
            <w:pPr>
              <w:jc w:val="center"/>
              <w:rPr>
                <w:rFonts w:hint="eastAsia" w:ascii="宋体" w:hAnsi="宋体" w:eastAsia="宋体" w:cs="宋体"/>
                <w:i w:val="0"/>
                <w:iCs w:val="0"/>
                <w:color w:val="000000"/>
                <w:sz w:val="18"/>
                <w:szCs w:val="18"/>
                <w:u w:val="none"/>
              </w:rPr>
            </w:pPr>
          </w:p>
        </w:tc>
      </w:tr>
      <w:tr w14:paraId="3A68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22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5917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D61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979899.64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4E41">
            <w:pPr>
              <w:jc w:val="center"/>
              <w:rPr>
                <w:rFonts w:hint="eastAsia" w:ascii="宋体" w:hAnsi="宋体" w:eastAsia="宋体" w:cs="宋体"/>
                <w:i w:val="0"/>
                <w:iCs w:val="0"/>
                <w:color w:val="000000"/>
                <w:sz w:val="18"/>
                <w:szCs w:val="18"/>
                <w:u w:val="none"/>
              </w:rPr>
            </w:pPr>
          </w:p>
        </w:tc>
      </w:tr>
      <w:tr w14:paraId="3D18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0815" w:type="dxa"/>
            <w:gridSpan w:val="8"/>
            <w:tcBorders>
              <w:top w:val="nil"/>
              <w:left w:val="nil"/>
              <w:bottom w:val="nil"/>
              <w:right w:val="nil"/>
            </w:tcBorders>
            <w:shd w:val="clear" w:color="auto" w:fill="auto"/>
            <w:vAlign w:val="center"/>
          </w:tcPr>
          <w:p w14:paraId="01560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注：1、以上含税单价均包括运、装卸到场费用、综合考虑施工过程中损耗；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2、招标工程量为暂估数量，结算据实调整；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3、结算量、价根据本项目建设单位结算审计情况进行调整。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4、实际施工实物与清单不符的，结算据实调整。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4181"/>
        <w:gridCol w:w="735"/>
        <w:gridCol w:w="666"/>
        <w:gridCol w:w="705"/>
        <w:gridCol w:w="1988"/>
      </w:tblGrid>
      <w:tr w14:paraId="38D6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12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1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8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0B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4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09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47E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2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 HRB400以内φ12～18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9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D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E673">
            <w:pPr>
              <w:jc w:val="center"/>
              <w:rPr>
                <w:rFonts w:hint="eastAsia" w:ascii="宋体" w:hAnsi="宋体" w:eastAsia="宋体" w:cs="宋体"/>
                <w:i w:val="0"/>
                <w:iCs w:val="0"/>
                <w:color w:val="000000"/>
                <w:sz w:val="18"/>
                <w:szCs w:val="18"/>
                <w:u w:val="none"/>
              </w:rPr>
            </w:pPr>
          </w:p>
        </w:tc>
      </w:tr>
      <w:tr w14:paraId="6102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B9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 HPB300φ12～18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9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63B">
            <w:pPr>
              <w:jc w:val="center"/>
              <w:rPr>
                <w:rFonts w:hint="eastAsia" w:ascii="宋体" w:hAnsi="宋体" w:eastAsia="宋体" w:cs="宋体"/>
                <w:i w:val="0"/>
                <w:iCs w:val="0"/>
                <w:color w:val="000000"/>
                <w:sz w:val="18"/>
                <w:szCs w:val="18"/>
                <w:u w:val="none"/>
              </w:rPr>
            </w:pPr>
          </w:p>
        </w:tc>
      </w:tr>
      <w:tr w14:paraId="493C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F8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雨水口成品球墨铸铁盖板（750*450*50） 平箅（带截污框）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B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A6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1、承载力≥400KN；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3、成套重量不得低于48kg。</w:t>
            </w:r>
          </w:p>
        </w:tc>
      </w:tr>
      <w:tr w14:paraId="2728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5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1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雨水口成品铸铁盖板（750*450*50）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A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D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68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5348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32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排水沟成品铸铁盖板（500*300*50）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6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4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1F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630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3A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排水沟成品铸铁盖板（400*600*30） 平箅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5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7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过小车</w:t>
            </w:r>
          </w:p>
        </w:tc>
      </w:tr>
      <w:tr w14:paraId="351F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8F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检查井编织防坠网（含专用挂钩等辅材）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E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A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ABA4C">
            <w:pPr>
              <w:jc w:val="center"/>
              <w:rPr>
                <w:rFonts w:hint="eastAsia" w:ascii="宋体" w:hAnsi="宋体" w:eastAsia="宋体" w:cs="宋体"/>
                <w:i w:val="0"/>
                <w:iCs w:val="0"/>
                <w:color w:val="000000"/>
                <w:sz w:val="20"/>
                <w:szCs w:val="20"/>
                <w:u w:val="none"/>
              </w:rPr>
            </w:pPr>
          </w:p>
        </w:tc>
      </w:tr>
      <w:tr w14:paraId="6308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5B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钢筋混凝土防沉降一体化球墨铸铁井盖、井座（实重不低于96kg）D400，含球墨铸铁防坠网、调节环,尺寸1.2*1.2*0.2m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8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29E14">
            <w:pPr>
              <w:jc w:val="center"/>
              <w:rPr>
                <w:rFonts w:hint="eastAsia" w:ascii="宋体" w:hAnsi="宋体" w:eastAsia="宋体" w:cs="宋体"/>
                <w:i w:val="0"/>
                <w:iCs w:val="0"/>
                <w:color w:val="000000"/>
                <w:sz w:val="20"/>
                <w:szCs w:val="20"/>
                <w:u w:val="none"/>
              </w:rPr>
            </w:pPr>
          </w:p>
        </w:tc>
      </w:tr>
      <w:tr w14:paraId="5B62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A9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钢筋混凝土防沉降一体化球墨铸铁井盖、井座（实重不低于96kg）D700，含球墨铸铁防坠网、调节环,尺寸1.2*1.2*0.2m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0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F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F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6D18D">
            <w:pPr>
              <w:jc w:val="center"/>
              <w:rPr>
                <w:rFonts w:hint="eastAsia" w:ascii="宋体" w:hAnsi="宋体" w:eastAsia="宋体" w:cs="宋体"/>
                <w:i w:val="0"/>
                <w:iCs w:val="0"/>
                <w:color w:val="000000"/>
                <w:sz w:val="20"/>
                <w:szCs w:val="20"/>
                <w:u w:val="none"/>
              </w:rPr>
            </w:pPr>
          </w:p>
        </w:tc>
      </w:tr>
      <w:tr w14:paraId="74A5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5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E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700*700*80mm不锈钢成套检查井盖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E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5655A">
            <w:pPr>
              <w:jc w:val="center"/>
              <w:rPr>
                <w:rFonts w:hint="eastAsia" w:ascii="宋体" w:hAnsi="宋体" w:eastAsia="宋体" w:cs="宋体"/>
                <w:i w:val="0"/>
                <w:iCs w:val="0"/>
                <w:color w:val="000000"/>
                <w:sz w:val="20"/>
                <w:szCs w:val="20"/>
                <w:u w:val="none"/>
              </w:rPr>
            </w:pPr>
          </w:p>
        </w:tc>
      </w:tr>
      <w:tr w14:paraId="0B32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9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6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新建塑料Ø630污水井,井室+井圈深度3.5米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1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F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C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ED0FB">
            <w:pPr>
              <w:jc w:val="center"/>
              <w:rPr>
                <w:rFonts w:hint="eastAsia" w:ascii="宋体" w:hAnsi="宋体" w:eastAsia="宋体" w:cs="宋体"/>
                <w:i w:val="0"/>
                <w:iCs w:val="0"/>
                <w:color w:val="000000"/>
                <w:sz w:val="20"/>
                <w:szCs w:val="20"/>
                <w:u w:val="none"/>
              </w:rPr>
            </w:pPr>
          </w:p>
        </w:tc>
      </w:tr>
      <w:tr w14:paraId="2931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79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8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污水塑料检查井(井筒直径mm以内) 700,井室深度1米，井圈0.3m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6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B5590">
            <w:pPr>
              <w:jc w:val="center"/>
              <w:rPr>
                <w:rFonts w:hint="eastAsia" w:ascii="宋体" w:hAnsi="宋体" w:eastAsia="宋体" w:cs="宋体"/>
                <w:i w:val="0"/>
                <w:iCs w:val="0"/>
                <w:color w:val="000000"/>
                <w:sz w:val="20"/>
                <w:szCs w:val="20"/>
                <w:u w:val="none"/>
              </w:rPr>
            </w:pPr>
          </w:p>
        </w:tc>
      </w:tr>
      <w:tr w14:paraId="12CC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7D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5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预制钢筋混凝土直通检查井井室、井座，外径φ1250、内径φ1000、高度1米、出水口直径φ750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4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219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2D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钢筋混凝土井筒内径φ700,厚度125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7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BF7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7E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D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钢筋混凝土Φ630国标中空壁井筒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0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5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3B9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15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HDPE井筒Φ800，高度0.5m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3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080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C3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E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芝麻灰火烧面大理石广场砖（规格：600X300X50mm)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E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60708">
            <w:pPr>
              <w:jc w:val="center"/>
              <w:rPr>
                <w:rFonts w:hint="eastAsia" w:ascii="宋体" w:hAnsi="宋体" w:eastAsia="宋体" w:cs="宋体"/>
                <w:i w:val="0"/>
                <w:iCs w:val="0"/>
                <w:color w:val="000000"/>
                <w:sz w:val="20"/>
                <w:szCs w:val="20"/>
                <w:u w:val="none"/>
              </w:rPr>
            </w:pPr>
          </w:p>
        </w:tc>
      </w:tr>
      <w:tr w14:paraId="07EE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1B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芝麻灰火烧面大理石广场砖（规格：300X600X30mm)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E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195BA">
            <w:pPr>
              <w:jc w:val="center"/>
              <w:rPr>
                <w:rFonts w:hint="eastAsia" w:ascii="宋体" w:hAnsi="宋体" w:eastAsia="宋体" w:cs="宋体"/>
                <w:i w:val="0"/>
                <w:iCs w:val="0"/>
                <w:color w:val="000000"/>
                <w:sz w:val="20"/>
                <w:szCs w:val="20"/>
                <w:u w:val="none"/>
              </w:rPr>
            </w:pPr>
          </w:p>
        </w:tc>
      </w:tr>
      <w:tr w14:paraId="5F88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8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芝麻黑火烧面大理石广场砖（规格：600X600X30mm)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D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261C4">
            <w:pPr>
              <w:jc w:val="center"/>
              <w:rPr>
                <w:rFonts w:hint="eastAsia" w:ascii="宋体" w:hAnsi="宋体" w:eastAsia="宋体" w:cs="宋体"/>
                <w:i w:val="0"/>
                <w:iCs w:val="0"/>
                <w:color w:val="000000"/>
                <w:sz w:val="20"/>
                <w:szCs w:val="20"/>
                <w:u w:val="none"/>
              </w:rPr>
            </w:pPr>
          </w:p>
        </w:tc>
      </w:tr>
      <w:tr w14:paraId="6985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2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芝麻白火烧面大理石广场砖（规格：600X600X30mm)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0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A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897CE">
            <w:pPr>
              <w:jc w:val="center"/>
              <w:rPr>
                <w:rFonts w:hint="eastAsia" w:ascii="宋体" w:hAnsi="宋体" w:eastAsia="宋体" w:cs="宋体"/>
                <w:i w:val="0"/>
                <w:iCs w:val="0"/>
                <w:color w:val="000000"/>
                <w:sz w:val="20"/>
                <w:szCs w:val="20"/>
                <w:u w:val="none"/>
              </w:rPr>
            </w:pPr>
          </w:p>
        </w:tc>
      </w:tr>
      <w:tr w14:paraId="106F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3D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E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火烧面芝麻白大理石广场砖（规格：1000X300X50mm)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B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A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4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6B3">
            <w:pPr>
              <w:jc w:val="center"/>
              <w:rPr>
                <w:rFonts w:hint="eastAsia" w:ascii="宋体" w:hAnsi="宋体" w:eastAsia="宋体" w:cs="宋体"/>
                <w:i w:val="0"/>
                <w:iCs w:val="0"/>
                <w:color w:val="000000"/>
                <w:sz w:val="18"/>
                <w:szCs w:val="18"/>
                <w:u w:val="none"/>
              </w:rPr>
            </w:pPr>
          </w:p>
        </w:tc>
      </w:tr>
      <w:tr w14:paraId="37A3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D0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1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芝麻灰花岗岩路沿石（700*200*100mm）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871">
            <w:pPr>
              <w:jc w:val="center"/>
              <w:rPr>
                <w:rFonts w:hint="eastAsia" w:ascii="宋体" w:hAnsi="宋体" w:eastAsia="宋体" w:cs="宋体"/>
                <w:i w:val="0"/>
                <w:iCs w:val="0"/>
                <w:color w:val="000000"/>
                <w:sz w:val="18"/>
                <w:szCs w:val="18"/>
                <w:u w:val="none"/>
              </w:rPr>
            </w:pPr>
          </w:p>
        </w:tc>
      </w:tr>
      <w:tr w14:paraId="3A1F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97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芝麻灰花岗岩路沿石（1000*300*120mm）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7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C4B0">
            <w:pPr>
              <w:jc w:val="center"/>
              <w:rPr>
                <w:rFonts w:hint="eastAsia" w:ascii="宋体" w:hAnsi="宋体" w:eastAsia="宋体" w:cs="宋体"/>
                <w:i w:val="0"/>
                <w:iCs w:val="0"/>
                <w:color w:val="000000"/>
                <w:sz w:val="18"/>
                <w:szCs w:val="18"/>
                <w:u w:val="none"/>
              </w:rPr>
            </w:pPr>
          </w:p>
        </w:tc>
      </w:tr>
      <w:tr w14:paraId="6B8C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C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火烧面芝麻灰花岗岩（300*600*25）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5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C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6D7B">
            <w:pPr>
              <w:jc w:val="center"/>
              <w:rPr>
                <w:rFonts w:hint="eastAsia" w:ascii="宋体" w:hAnsi="宋体" w:eastAsia="宋体" w:cs="宋体"/>
                <w:i w:val="0"/>
                <w:iCs w:val="0"/>
                <w:color w:val="000000"/>
                <w:sz w:val="18"/>
                <w:szCs w:val="18"/>
                <w:u w:val="none"/>
              </w:rPr>
            </w:pPr>
          </w:p>
        </w:tc>
      </w:tr>
      <w:tr w14:paraId="1EB2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85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花岗岩树池石1000*200*80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AA59">
            <w:pPr>
              <w:jc w:val="center"/>
              <w:rPr>
                <w:rFonts w:hint="eastAsia" w:ascii="宋体" w:hAnsi="宋体" w:eastAsia="宋体" w:cs="宋体"/>
                <w:i w:val="0"/>
                <w:iCs w:val="0"/>
                <w:color w:val="000000"/>
                <w:sz w:val="18"/>
                <w:szCs w:val="18"/>
                <w:u w:val="none"/>
              </w:rPr>
            </w:pPr>
          </w:p>
        </w:tc>
      </w:tr>
      <w:tr w14:paraId="6861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BF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700*200*150mm芝麻灰花岗岩路沿石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A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C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7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3275">
            <w:pPr>
              <w:jc w:val="center"/>
              <w:rPr>
                <w:rFonts w:hint="eastAsia" w:ascii="宋体" w:hAnsi="宋体" w:eastAsia="宋体" w:cs="宋体"/>
                <w:i w:val="0"/>
                <w:iCs w:val="0"/>
                <w:color w:val="000000"/>
                <w:sz w:val="18"/>
                <w:szCs w:val="18"/>
                <w:u w:val="none"/>
              </w:rPr>
            </w:pPr>
          </w:p>
        </w:tc>
      </w:tr>
      <w:tr w14:paraId="06E7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9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0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700*100*100mm芝麻灰花岗岩路沿石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2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A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BE32">
            <w:pPr>
              <w:jc w:val="center"/>
              <w:rPr>
                <w:rFonts w:hint="eastAsia" w:ascii="宋体" w:hAnsi="宋体" w:eastAsia="宋体" w:cs="宋体"/>
                <w:i w:val="0"/>
                <w:iCs w:val="0"/>
                <w:color w:val="000000"/>
                <w:sz w:val="18"/>
                <w:szCs w:val="18"/>
                <w:u w:val="none"/>
              </w:rPr>
            </w:pPr>
          </w:p>
        </w:tc>
      </w:tr>
      <w:tr w14:paraId="3C3D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AF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5cm芝麻白花岗岩人行道面板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9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0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EB22">
            <w:pPr>
              <w:jc w:val="center"/>
              <w:rPr>
                <w:rFonts w:hint="eastAsia" w:ascii="宋体" w:hAnsi="宋体" w:eastAsia="宋体" w:cs="宋体"/>
                <w:i w:val="0"/>
                <w:iCs w:val="0"/>
                <w:color w:val="000000"/>
                <w:sz w:val="18"/>
                <w:szCs w:val="18"/>
                <w:u w:val="none"/>
              </w:rPr>
            </w:pPr>
          </w:p>
        </w:tc>
      </w:tr>
      <w:tr w14:paraId="5540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3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3cm芝麻白花岗岩花岗岩人行道面板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3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D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E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DFBF">
            <w:pPr>
              <w:jc w:val="center"/>
              <w:rPr>
                <w:rFonts w:hint="eastAsia" w:ascii="宋体" w:hAnsi="宋体" w:eastAsia="宋体" w:cs="宋体"/>
                <w:i w:val="0"/>
                <w:iCs w:val="0"/>
                <w:color w:val="000000"/>
                <w:sz w:val="18"/>
                <w:szCs w:val="18"/>
                <w:u w:val="none"/>
              </w:rPr>
            </w:pPr>
          </w:p>
        </w:tc>
      </w:tr>
      <w:tr w14:paraId="6A42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29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3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3cm芝麻白花岗岩600*600*30人行道面板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B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E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EC77">
            <w:pPr>
              <w:jc w:val="center"/>
              <w:rPr>
                <w:rFonts w:hint="eastAsia" w:ascii="宋体" w:hAnsi="宋体" w:eastAsia="宋体" w:cs="宋体"/>
                <w:i w:val="0"/>
                <w:iCs w:val="0"/>
                <w:color w:val="000000"/>
                <w:sz w:val="18"/>
                <w:szCs w:val="18"/>
                <w:u w:val="none"/>
              </w:rPr>
            </w:pPr>
          </w:p>
        </w:tc>
      </w:tr>
      <w:tr w14:paraId="788F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14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2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PC砖 300*600*18mm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9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F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4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856F">
            <w:pPr>
              <w:jc w:val="center"/>
              <w:rPr>
                <w:rFonts w:hint="eastAsia" w:ascii="宋体" w:hAnsi="宋体" w:eastAsia="宋体" w:cs="宋体"/>
                <w:i w:val="0"/>
                <w:iCs w:val="0"/>
                <w:color w:val="000000"/>
                <w:sz w:val="18"/>
                <w:szCs w:val="18"/>
                <w:u w:val="none"/>
              </w:rPr>
            </w:pPr>
          </w:p>
        </w:tc>
      </w:tr>
      <w:tr w14:paraId="4996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AC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200*100*60mm人行道地面吸水砖（素色）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E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0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188">
            <w:pPr>
              <w:jc w:val="center"/>
              <w:rPr>
                <w:rFonts w:hint="eastAsia" w:ascii="宋体" w:hAnsi="宋体" w:eastAsia="宋体" w:cs="宋体"/>
                <w:i w:val="0"/>
                <w:iCs w:val="0"/>
                <w:color w:val="000000"/>
                <w:sz w:val="18"/>
                <w:szCs w:val="18"/>
                <w:u w:val="none"/>
              </w:rPr>
            </w:pPr>
          </w:p>
        </w:tc>
      </w:tr>
      <w:tr w14:paraId="1982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D8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人行道吸水砖 200*100*60（彩色）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EB6D">
            <w:pPr>
              <w:jc w:val="center"/>
              <w:rPr>
                <w:rFonts w:hint="eastAsia" w:ascii="宋体" w:hAnsi="宋体" w:eastAsia="宋体" w:cs="宋体"/>
                <w:i w:val="0"/>
                <w:iCs w:val="0"/>
                <w:color w:val="000000"/>
                <w:sz w:val="18"/>
                <w:szCs w:val="18"/>
                <w:u w:val="none"/>
              </w:rPr>
            </w:pPr>
          </w:p>
        </w:tc>
      </w:tr>
      <w:tr w14:paraId="4CFD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FB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0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红机砖 240×115×53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0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B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1055">
            <w:pPr>
              <w:jc w:val="center"/>
              <w:rPr>
                <w:rFonts w:hint="eastAsia" w:ascii="宋体" w:hAnsi="宋体" w:eastAsia="宋体" w:cs="宋体"/>
                <w:i w:val="0"/>
                <w:iCs w:val="0"/>
                <w:color w:val="000000"/>
                <w:sz w:val="18"/>
                <w:szCs w:val="18"/>
                <w:u w:val="none"/>
              </w:rPr>
            </w:pPr>
          </w:p>
        </w:tc>
      </w:tr>
      <w:tr w14:paraId="2DAF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2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F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标准砖 240×115×53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6070">
            <w:pPr>
              <w:jc w:val="center"/>
              <w:rPr>
                <w:rFonts w:hint="eastAsia" w:ascii="宋体" w:hAnsi="宋体" w:eastAsia="宋体" w:cs="宋体"/>
                <w:i w:val="0"/>
                <w:iCs w:val="0"/>
                <w:color w:val="000000"/>
                <w:sz w:val="18"/>
                <w:szCs w:val="18"/>
                <w:u w:val="none"/>
              </w:rPr>
            </w:pPr>
          </w:p>
        </w:tc>
      </w:tr>
      <w:tr w14:paraId="3A9A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F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3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中粗砂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D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969E">
            <w:pPr>
              <w:jc w:val="center"/>
              <w:rPr>
                <w:rFonts w:hint="eastAsia" w:ascii="宋体" w:hAnsi="宋体" w:eastAsia="宋体" w:cs="宋体"/>
                <w:i w:val="0"/>
                <w:iCs w:val="0"/>
                <w:color w:val="000000"/>
                <w:sz w:val="18"/>
                <w:szCs w:val="18"/>
                <w:u w:val="none"/>
              </w:rPr>
            </w:pPr>
          </w:p>
        </w:tc>
      </w:tr>
      <w:tr w14:paraId="2AF1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9D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7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4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4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C4A">
            <w:pPr>
              <w:jc w:val="center"/>
              <w:rPr>
                <w:rFonts w:hint="eastAsia" w:ascii="宋体" w:hAnsi="宋体" w:eastAsia="宋体" w:cs="宋体"/>
                <w:i w:val="0"/>
                <w:iCs w:val="0"/>
                <w:color w:val="000000"/>
                <w:sz w:val="18"/>
                <w:szCs w:val="18"/>
                <w:u w:val="none"/>
              </w:rPr>
            </w:pPr>
          </w:p>
        </w:tc>
      </w:tr>
      <w:tr w14:paraId="7174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13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7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5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81B">
            <w:pPr>
              <w:jc w:val="center"/>
              <w:rPr>
                <w:rFonts w:hint="eastAsia" w:ascii="宋体" w:hAnsi="宋体" w:eastAsia="宋体" w:cs="宋体"/>
                <w:i w:val="0"/>
                <w:iCs w:val="0"/>
                <w:color w:val="000000"/>
                <w:sz w:val="18"/>
                <w:szCs w:val="18"/>
                <w:u w:val="none"/>
              </w:rPr>
            </w:pPr>
          </w:p>
        </w:tc>
      </w:tr>
      <w:tr w14:paraId="1BA8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D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8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B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5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A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C29">
            <w:pPr>
              <w:jc w:val="center"/>
              <w:rPr>
                <w:rFonts w:hint="eastAsia" w:ascii="宋体" w:hAnsi="宋体" w:eastAsia="宋体" w:cs="宋体"/>
                <w:i w:val="0"/>
                <w:iCs w:val="0"/>
                <w:color w:val="000000"/>
                <w:sz w:val="18"/>
                <w:szCs w:val="18"/>
                <w:u w:val="none"/>
              </w:rPr>
            </w:pPr>
          </w:p>
        </w:tc>
      </w:tr>
      <w:tr w14:paraId="1D54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A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DC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2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F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DDD">
            <w:pPr>
              <w:jc w:val="center"/>
              <w:rPr>
                <w:rFonts w:hint="eastAsia" w:ascii="宋体" w:hAnsi="宋体" w:eastAsia="宋体" w:cs="宋体"/>
                <w:i w:val="0"/>
                <w:iCs w:val="0"/>
                <w:color w:val="000000"/>
                <w:sz w:val="18"/>
                <w:szCs w:val="18"/>
                <w:u w:val="none"/>
              </w:rPr>
            </w:pPr>
          </w:p>
        </w:tc>
      </w:tr>
      <w:tr w14:paraId="71D8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1C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7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D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226">
            <w:pPr>
              <w:jc w:val="center"/>
              <w:rPr>
                <w:rFonts w:hint="eastAsia" w:ascii="宋体" w:hAnsi="宋体" w:eastAsia="宋体" w:cs="宋体"/>
                <w:i w:val="0"/>
                <w:iCs w:val="0"/>
                <w:color w:val="000000"/>
                <w:sz w:val="18"/>
                <w:szCs w:val="18"/>
                <w:u w:val="none"/>
              </w:rPr>
            </w:pPr>
          </w:p>
        </w:tc>
      </w:tr>
      <w:tr w14:paraId="4DC9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CA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E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预拌混凝土 C10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2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E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EAB">
            <w:pPr>
              <w:jc w:val="center"/>
              <w:rPr>
                <w:rFonts w:hint="eastAsia" w:ascii="宋体" w:hAnsi="宋体" w:eastAsia="宋体" w:cs="宋体"/>
                <w:i w:val="0"/>
                <w:iCs w:val="0"/>
                <w:color w:val="000000"/>
                <w:sz w:val="18"/>
                <w:szCs w:val="18"/>
                <w:u w:val="none"/>
              </w:rPr>
            </w:pPr>
          </w:p>
        </w:tc>
      </w:tr>
      <w:tr w14:paraId="7B28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F3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素色透水混凝土 C25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3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8930">
            <w:pPr>
              <w:jc w:val="center"/>
              <w:rPr>
                <w:rFonts w:hint="eastAsia" w:ascii="宋体" w:hAnsi="宋体" w:eastAsia="宋体" w:cs="宋体"/>
                <w:i w:val="0"/>
                <w:iCs w:val="0"/>
                <w:color w:val="000000"/>
                <w:sz w:val="18"/>
                <w:szCs w:val="18"/>
                <w:u w:val="none"/>
              </w:rPr>
            </w:pPr>
          </w:p>
        </w:tc>
      </w:tr>
      <w:tr w14:paraId="32EF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43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快干水泥42.5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1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A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406">
            <w:pPr>
              <w:jc w:val="center"/>
              <w:rPr>
                <w:rFonts w:hint="eastAsia" w:ascii="宋体" w:hAnsi="宋体" w:eastAsia="宋体" w:cs="宋体"/>
                <w:i w:val="0"/>
                <w:iCs w:val="0"/>
                <w:color w:val="000000"/>
                <w:sz w:val="18"/>
                <w:szCs w:val="18"/>
                <w:u w:val="none"/>
              </w:rPr>
            </w:pPr>
          </w:p>
        </w:tc>
      </w:tr>
      <w:tr w14:paraId="5605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23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7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中粒式沥青混凝土AC-16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3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F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59E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3E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SBS细粒式改性沥青混凝土AC-13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B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58AE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3F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2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7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E035">
            <w:pPr>
              <w:jc w:val="center"/>
              <w:rPr>
                <w:rFonts w:hint="eastAsia" w:ascii="宋体" w:hAnsi="宋体" w:eastAsia="宋体" w:cs="宋体"/>
                <w:i w:val="0"/>
                <w:iCs w:val="0"/>
                <w:color w:val="000000"/>
                <w:sz w:val="18"/>
                <w:szCs w:val="18"/>
                <w:u w:val="none"/>
              </w:rPr>
            </w:pPr>
          </w:p>
        </w:tc>
      </w:tr>
      <w:tr w14:paraId="4F7A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ED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1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DN800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1AD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13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B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DN600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6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3C69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B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DN500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B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E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5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252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D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DN400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9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1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7F03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12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DN300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C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C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2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6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3EFE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88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HDPE缠绕增强管   DN200 SN≥10KN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DC4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F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7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C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E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C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62DF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E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2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3965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1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B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E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3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37D6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A4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堵漏王（1kg）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D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EE43">
            <w:pPr>
              <w:jc w:val="center"/>
              <w:rPr>
                <w:rFonts w:hint="eastAsia" w:ascii="宋体" w:hAnsi="宋体" w:eastAsia="宋体" w:cs="宋体"/>
                <w:i w:val="0"/>
                <w:iCs w:val="0"/>
                <w:color w:val="000000"/>
                <w:sz w:val="18"/>
                <w:szCs w:val="18"/>
                <w:u w:val="none"/>
              </w:rPr>
            </w:pPr>
          </w:p>
        </w:tc>
      </w:tr>
      <w:tr w14:paraId="047F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D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草皮台湾青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1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7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11E0">
            <w:pPr>
              <w:jc w:val="center"/>
              <w:rPr>
                <w:rFonts w:hint="eastAsia" w:ascii="宋体" w:hAnsi="宋体" w:eastAsia="宋体" w:cs="宋体"/>
                <w:i w:val="0"/>
                <w:iCs w:val="0"/>
                <w:color w:val="000000"/>
                <w:sz w:val="18"/>
                <w:szCs w:val="18"/>
                <w:u w:val="none"/>
              </w:rPr>
            </w:pPr>
          </w:p>
        </w:tc>
      </w:tr>
      <w:tr w14:paraId="0DAB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8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混凝土管DN800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8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7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C3A">
            <w:pPr>
              <w:jc w:val="center"/>
              <w:rPr>
                <w:rFonts w:hint="eastAsia" w:ascii="宋体" w:hAnsi="宋体" w:eastAsia="宋体" w:cs="宋体"/>
                <w:i w:val="0"/>
                <w:iCs w:val="0"/>
                <w:color w:val="000000"/>
                <w:sz w:val="18"/>
                <w:szCs w:val="18"/>
                <w:u w:val="none"/>
              </w:rPr>
            </w:pPr>
          </w:p>
        </w:tc>
      </w:tr>
      <w:tr w14:paraId="4A4C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A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混凝土管DN600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5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8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6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C760">
            <w:pPr>
              <w:jc w:val="center"/>
              <w:rPr>
                <w:rFonts w:hint="eastAsia" w:ascii="宋体" w:hAnsi="宋体" w:eastAsia="宋体" w:cs="宋体"/>
                <w:i w:val="0"/>
                <w:iCs w:val="0"/>
                <w:color w:val="000000"/>
                <w:sz w:val="18"/>
                <w:szCs w:val="18"/>
                <w:u w:val="none"/>
              </w:rPr>
            </w:pPr>
          </w:p>
        </w:tc>
      </w:tr>
      <w:tr w14:paraId="23A9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8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混凝土管DN500 SN≥12.5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4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D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8F4">
            <w:pPr>
              <w:jc w:val="center"/>
              <w:rPr>
                <w:rFonts w:hint="eastAsia" w:ascii="宋体" w:hAnsi="宋体" w:eastAsia="宋体" w:cs="宋体"/>
                <w:i w:val="0"/>
                <w:iCs w:val="0"/>
                <w:color w:val="000000"/>
                <w:sz w:val="18"/>
                <w:szCs w:val="18"/>
                <w:u w:val="none"/>
              </w:rPr>
            </w:pPr>
          </w:p>
        </w:tc>
      </w:tr>
      <w:tr w14:paraId="17AC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69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混凝土管DN400 SN≥10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788F">
            <w:pPr>
              <w:jc w:val="center"/>
              <w:rPr>
                <w:rFonts w:hint="eastAsia" w:ascii="宋体" w:hAnsi="宋体" w:eastAsia="宋体" w:cs="宋体"/>
                <w:i w:val="0"/>
                <w:iCs w:val="0"/>
                <w:color w:val="000000"/>
                <w:sz w:val="18"/>
                <w:szCs w:val="18"/>
                <w:u w:val="none"/>
              </w:rPr>
            </w:pPr>
          </w:p>
        </w:tc>
      </w:tr>
      <w:tr w14:paraId="7BC4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3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E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混凝土管DN300 SN≥10 二级管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D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F638">
            <w:pPr>
              <w:jc w:val="center"/>
              <w:rPr>
                <w:rFonts w:hint="eastAsia" w:ascii="宋体" w:hAnsi="宋体" w:eastAsia="宋体" w:cs="宋体"/>
                <w:i w:val="0"/>
                <w:iCs w:val="0"/>
                <w:color w:val="000000"/>
                <w:sz w:val="18"/>
                <w:szCs w:val="18"/>
                <w:u w:val="none"/>
              </w:rPr>
            </w:pPr>
          </w:p>
        </w:tc>
      </w:tr>
      <w:tr w14:paraId="742E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3C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围挡租赁，含安装拆除施工围挡（2000*1800）带铁支撑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B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687">
            <w:pPr>
              <w:jc w:val="center"/>
              <w:rPr>
                <w:rFonts w:hint="eastAsia" w:ascii="宋体" w:hAnsi="宋体" w:eastAsia="宋体" w:cs="宋体"/>
                <w:i w:val="0"/>
                <w:iCs w:val="0"/>
                <w:color w:val="000000"/>
                <w:sz w:val="18"/>
                <w:szCs w:val="18"/>
                <w:u w:val="none"/>
              </w:rPr>
            </w:pPr>
          </w:p>
        </w:tc>
      </w:tr>
      <w:tr w14:paraId="3CF6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FA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D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48E8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6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2E38">
            <w:pPr>
              <w:jc w:val="center"/>
              <w:rPr>
                <w:rFonts w:hint="eastAsia" w:ascii="宋体" w:hAnsi="宋体" w:eastAsia="宋体" w:cs="宋体"/>
                <w:i w:val="0"/>
                <w:iCs w:val="0"/>
                <w:color w:val="000000"/>
                <w:sz w:val="18"/>
                <w:szCs w:val="18"/>
                <w:u w:val="none"/>
              </w:rPr>
            </w:pPr>
          </w:p>
        </w:tc>
      </w:tr>
      <w:tr w14:paraId="0115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F6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复合木模板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F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7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7E6">
            <w:pPr>
              <w:jc w:val="center"/>
              <w:rPr>
                <w:rFonts w:hint="eastAsia" w:ascii="宋体" w:hAnsi="宋体" w:eastAsia="宋体" w:cs="宋体"/>
                <w:i w:val="0"/>
                <w:iCs w:val="0"/>
                <w:color w:val="000000"/>
                <w:sz w:val="18"/>
                <w:szCs w:val="18"/>
                <w:u w:val="none"/>
              </w:rPr>
            </w:pPr>
          </w:p>
        </w:tc>
      </w:tr>
      <w:tr w14:paraId="3B79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9C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3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气囊管堵安装拆除 管径DN600及以内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F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D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98E3">
            <w:pPr>
              <w:jc w:val="center"/>
              <w:rPr>
                <w:rFonts w:hint="eastAsia" w:ascii="宋体" w:hAnsi="宋体" w:eastAsia="宋体" w:cs="宋体"/>
                <w:i w:val="0"/>
                <w:iCs w:val="0"/>
                <w:color w:val="000000"/>
                <w:sz w:val="18"/>
                <w:szCs w:val="18"/>
                <w:u w:val="none"/>
              </w:rPr>
            </w:pPr>
          </w:p>
        </w:tc>
      </w:tr>
      <w:tr w14:paraId="1B7D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9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气囊管堵安装拆除 管径DN600以上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A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BED7">
            <w:pPr>
              <w:jc w:val="center"/>
              <w:rPr>
                <w:rFonts w:hint="eastAsia" w:ascii="宋体" w:hAnsi="宋体" w:eastAsia="宋体" w:cs="宋体"/>
                <w:i w:val="0"/>
                <w:iCs w:val="0"/>
                <w:color w:val="000000"/>
                <w:sz w:val="18"/>
                <w:szCs w:val="18"/>
                <w:u w:val="none"/>
              </w:rPr>
            </w:pPr>
          </w:p>
        </w:tc>
      </w:tr>
    </w:tbl>
    <w:p w14:paraId="4F4EE9E2">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15EC8176">
      <w:pPr>
        <w:pStyle w:val="2"/>
        <w:rPr>
          <w:rFonts w:hint="eastAsia"/>
          <w:lang w:val="en-US" w:eastAsia="zh-CN"/>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w:t>
      </w:r>
      <w:r>
        <w:rPr>
          <w:rFonts w:hint="eastAsia" w:ascii="宋体" w:hAnsi="宋体" w:cs="宋体"/>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44409279"/>
      <w:bookmarkStart w:id="47" w:name="_Toc344409075"/>
      <w:bookmarkStart w:id="48" w:name="_Toc323199452"/>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C50E8D"/>
    <w:rsid w:val="0AF73FD4"/>
    <w:rsid w:val="0B05031C"/>
    <w:rsid w:val="0B424B21"/>
    <w:rsid w:val="0B560A80"/>
    <w:rsid w:val="0BA02F98"/>
    <w:rsid w:val="0BDE4F88"/>
    <w:rsid w:val="0BF2247E"/>
    <w:rsid w:val="0BF55591"/>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C4688F"/>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2A25CC"/>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3314D"/>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7F7CA7"/>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DA730F"/>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4D56340"/>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BF872F2"/>
    <w:rsid w:val="6C0F3245"/>
    <w:rsid w:val="6C3D3BAD"/>
    <w:rsid w:val="6C3E6C02"/>
    <w:rsid w:val="6C601B62"/>
    <w:rsid w:val="6C6070F4"/>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A2EBE"/>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9E1A24"/>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48</Pages>
  <Words>7395</Words>
  <Characters>8249</Characters>
  <Lines>190</Lines>
  <Paragraphs>53</Paragraphs>
  <TotalTime>3</TotalTime>
  <ScaleCrop>false</ScaleCrop>
  <LinksUpToDate>false</LinksUpToDate>
  <CharactersWithSpaces>8549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2026-01-22T06:32:00Z</cp:lastPrinted>
  <dcterms:modified xsi:type="dcterms:W3CDTF">2026-02-02T06:06:50Z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